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C1B">
      <w:pPr>
        <w:spacing w:after="0"/>
      </w:pPr>
      <w:bookmarkStart w:id="0" w:name="_GoBack"/>
      <w:bookmarkEnd w:id="0"/>
      <w:r>
        <w:t> </w:t>
      </w:r>
    </w:p>
    <w:p w:rsidR="00000000" w:rsidRDefault="006C0C1B">
      <w:pPr>
        <w:spacing w:after="0"/>
      </w:pPr>
      <w:r>
        <w:rPr>
          <w:sz w:val="8"/>
          <w:szCs w:val="8"/>
        </w:rPr>
        <w:t> </w:t>
      </w:r>
    </w:p>
    <w:tbl>
      <w:tblPr>
        <w:tblW w:w="0" w:type="auto"/>
        <w:jc w:val="center"/>
        <w:tblCellMar>
          <w:left w:w="0" w:type="dxa"/>
          <w:right w:w="0" w:type="dxa"/>
        </w:tblCellMar>
        <w:tblLook w:val="04A0" w:firstRow="1" w:lastRow="0" w:firstColumn="1" w:lastColumn="0" w:noHBand="0" w:noVBand="1"/>
      </w:tblPr>
      <w:tblGrid>
        <w:gridCol w:w="1963"/>
        <w:gridCol w:w="4531"/>
        <w:gridCol w:w="4522"/>
      </w:tblGrid>
      <w:tr w:rsidR="00000000">
        <w:trPr>
          <w:jc w:val="center"/>
        </w:trPr>
        <w:tc>
          <w:tcPr>
            <w:tcW w:w="11182" w:type="dxa"/>
            <w:gridSpan w:val="3"/>
            <w:shd w:val="clear" w:color="auto" w:fill="FFFFFF"/>
            <w:tcMar>
              <w:top w:w="0" w:type="dxa"/>
              <w:left w:w="108" w:type="dxa"/>
              <w:bottom w:w="0" w:type="dxa"/>
              <w:right w:w="108" w:type="dxa"/>
            </w:tcMar>
            <w:vAlign w:val="center"/>
            <w:hideMark/>
          </w:tcPr>
          <w:p w:rsidR="00000000" w:rsidRDefault="006C0C1B">
            <w:pPr>
              <w:pStyle w:val="Heading1"/>
              <w:spacing w:line="240" w:lineRule="auto"/>
              <w:rPr>
                <w:rFonts w:eastAsia="Times New Roman"/>
              </w:rPr>
            </w:pPr>
            <w:r>
              <w:rPr>
                <w:rFonts w:eastAsia="Times New Roman"/>
                <w:b w:val="0"/>
                <w:bCs w:val="0"/>
                <w:sz w:val="36"/>
                <w:szCs w:val="36"/>
              </w:rPr>
              <w:t>CZO Metadata Worksheet</w:t>
            </w:r>
          </w:p>
          <w:p w:rsidR="00000000" w:rsidRDefault="006C0C1B">
            <w:pPr>
              <w:spacing w:after="0" w:line="240" w:lineRule="auto"/>
            </w:pPr>
            <w:r>
              <w:rPr>
                <w:rFonts w:ascii="Cambria" w:hAnsi="Cambria"/>
                <w:b/>
                <w:bCs/>
                <w:color w:val="000000"/>
              </w:rPr>
              <w:t> </w:t>
            </w:r>
          </w:p>
        </w:tc>
      </w:tr>
      <w:tr w:rsidR="00000000">
        <w:trPr>
          <w:jc w:val="center"/>
        </w:trPr>
        <w:tc>
          <w:tcPr>
            <w:tcW w:w="1976" w:type="dxa"/>
            <w:tcBorders>
              <w:top w:val="single" w:sz="8" w:space="0" w:color="auto"/>
              <w:left w:val="nil"/>
              <w:bottom w:val="single" w:sz="4" w:space="0" w:color="auto"/>
              <w:right w:val="nil"/>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Data File Name</w:t>
            </w:r>
          </w:p>
          <w:p w:rsidR="00000000" w:rsidRDefault="006C0C1B">
            <w:pPr>
              <w:spacing w:after="0" w:line="240" w:lineRule="auto"/>
            </w:pPr>
            <w:r>
              <w:rPr>
                <w:rFonts w:ascii="Cambria" w:hAnsi="Cambria"/>
                <w:b/>
                <w:bCs/>
                <w:color w:val="000000"/>
              </w:rPr>
              <w:t> </w:t>
            </w:r>
          </w:p>
        </w:tc>
        <w:tc>
          <w:tcPr>
            <w:tcW w:w="9206" w:type="dxa"/>
            <w:gridSpan w:val="2"/>
            <w:tcBorders>
              <w:top w:val="single" w:sz="8" w:space="0" w:color="auto"/>
              <w:left w:val="single" w:sz="8" w:space="0" w:color="auto"/>
              <w:bottom w:val="single" w:sz="4" w:space="0" w:color="auto"/>
              <w:right w:val="nil"/>
            </w:tcBorders>
            <w:shd w:val="clear" w:color="auto" w:fill="A7BFDE"/>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Reanalysis Products</w:t>
            </w:r>
          </w:p>
        </w:tc>
      </w:tr>
      <w:tr w:rsidR="00000000">
        <w:trPr>
          <w:jc w:val="center"/>
        </w:trPr>
        <w:tc>
          <w:tcPr>
            <w:tcW w:w="19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Date Updated</w:t>
            </w:r>
          </w:p>
          <w:p w:rsidR="00000000" w:rsidRDefault="006C0C1B">
            <w:pPr>
              <w:spacing w:after="0" w:line="240" w:lineRule="auto"/>
            </w:pPr>
            <w:r>
              <w:rPr>
                <w:rFonts w:ascii="Cambria" w:hAnsi="Cambria"/>
                <w:color w:val="000000"/>
              </w:rPr>
              <w:t> </w:t>
            </w:r>
          </w:p>
        </w:tc>
        <w:tc>
          <w:tcPr>
            <w:tcW w:w="9206" w:type="dxa"/>
            <w:gridSpan w:val="2"/>
            <w:tcBorders>
              <w:top w:val="single" w:sz="4" w:space="0" w:color="auto"/>
              <w:left w:val="nil"/>
              <w:bottom w:val="single" w:sz="8" w:space="0" w:color="auto"/>
              <w:right w:val="nil"/>
            </w:tcBorders>
            <w:shd w:val="clear" w:color="auto" w:fill="A7BFDE"/>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06/30/2011</w:t>
            </w:r>
          </w:p>
        </w:tc>
      </w:tr>
      <w:tr w:rsidR="00000000">
        <w:trPr>
          <w:jc w:val="center"/>
        </w:trPr>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Descriptive Title</w:t>
            </w:r>
          </w:p>
          <w:p w:rsidR="00000000" w:rsidRDefault="006C0C1B">
            <w:pPr>
              <w:spacing w:after="0" w:line="240" w:lineRule="auto"/>
            </w:pPr>
            <w:r>
              <w:rPr>
                <w:rFonts w:ascii="Cambria" w:hAnsi="Cambria"/>
                <w:color w:val="000000"/>
              </w:rPr>
              <w:t> </w:t>
            </w:r>
          </w:p>
        </w:tc>
        <w:tc>
          <w:tcPr>
            <w:tcW w:w="9206" w:type="dxa"/>
            <w:gridSpan w:val="2"/>
            <w:tcBorders>
              <w:top w:val="nil"/>
              <w:left w:val="nil"/>
              <w:bottom w:val="single" w:sz="8" w:space="0" w:color="auto"/>
              <w:right w:val="nil"/>
            </w:tcBorders>
            <w:shd w:val="clear" w:color="auto" w:fill="D3DFEE"/>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Shale Hills CZO Reanalysis products</w:t>
            </w:r>
          </w:p>
        </w:tc>
      </w:tr>
      <w:tr w:rsidR="00000000">
        <w:trPr>
          <w:jc w:val="center"/>
        </w:trPr>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Update Frequency</w:t>
            </w:r>
          </w:p>
          <w:p w:rsidR="00000000" w:rsidRDefault="006C0C1B">
            <w:pPr>
              <w:spacing w:after="0" w:line="240" w:lineRule="auto"/>
            </w:pPr>
            <w:r>
              <w:rPr>
                <w:rFonts w:ascii="Cambria" w:hAnsi="Cambria"/>
                <w:color w:val="000000"/>
              </w:rPr>
              <w:t> </w:t>
            </w:r>
          </w:p>
        </w:tc>
        <w:tc>
          <w:tcPr>
            <w:tcW w:w="9206" w:type="dxa"/>
            <w:gridSpan w:val="2"/>
            <w:tcBorders>
              <w:top w:val="nil"/>
              <w:left w:val="nil"/>
              <w:bottom w:val="single" w:sz="8" w:space="0" w:color="auto"/>
              <w:right w:val="nil"/>
            </w:tcBorders>
            <w:shd w:val="clear" w:color="auto" w:fill="A7BFDE"/>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Yearly</w:t>
            </w:r>
          </w:p>
        </w:tc>
      </w:tr>
      <w:tr w:rsidR="00000000">
        <w:trPr>
          <w:jc w:val="center"/>
        </w:trPr>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Abstract</w:t>
            </w:r>
          </w:p>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w:t>
            </w:r>
          </w:p>
        </w:tc>
        <w:tc>
          <w:tcPr>
            <w:tcW w:w="9206" w:type="dxa"/>
            <w:gridSpan w:val="2"/>
            <w:tcBorders>
              <w:top w:val="nil"/>
              <w:left w:val="nil"/>
              <w:bottom w:val="single" w:sz="8" w:space="0" w:color="auto"/>
              <w:right w:val="nil"/>
            </w:tcBorders>
            <w:shd w:val="clear" w:color="auto" w:fill="D3DFEE"/>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Reanalysis data has been prepared using the model reanalysis results from PIHM. There are three versions of reanalysis data products due to availability of the model-data coupling strategy.</w:t>
            </w:r>
          </w:p>
        </w:tc>
      </w:tr>
      <w:tr w:rsidR="00000000">
        <w:trPr>
          <w:jc w:val="center"/>
        </w:trPr>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Investigator</w:t>
            </w:r>
          </w:p>
          <w:p w:rsidR="00000000" w:rsidRDefault="006C0C1B">
            <w:pPr>
              <w:spacing w:after="0" w:line="240" w:lineRule="auto"/>
            </w:pPr>
            <w:r>
              <w:rPr>
                <w:rFonts w:ascii="Cambria" w:hAnsi="Cambria"/>
                <w:color w:val="000000"/>
              </w:rPr>
              <w:t>Contact Info</w:t>
            </w:r>
          </w:p>
          <w:p w:rsidR="00000000" w:rsidRDefault="006C0C1B">
            <w:pPr>
              <w:spacing w:after="0" w:line="240" w:lineRule="auto"/>
            </w:pPr>
            <w:r>
              <w:rPr>
                <w:rFonts w:ascii="Cambria" w:hAnsi="Cambria"/>
                <w:color w:val="000000"/>
              </w:rPr>
              <w:t> </w:t>
            </w:r>
          </w:p>
        </w:tc>
        <w:tc>
          <w:tcPr>
            <w:tcW w:w="9206" w:type="dxa"/>
            <w:gridSpan w:val="2"/>
            <w:tcBorders>
              <w:top w:val="nil"/>
              <w:left w:val="nil"/>
              <w:bottom w:val="single" w:sz="8" w:space="0" w:color="auto"/>
              <w:right w:val="nil"/>
            </w:tcBorders>
            <w:shd w:val="clear" w:color="auto" w:fill="95B3D7" w:themeFill="accent1" w:themeFillTint="99"/>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xml:space="preserve">Prof. Christopher </w:t>
            </w:r>
            <w:r>
              <w:rPr>
                <w:rFonts w:ascii="Cambria" w:hAnsi="Cambria"/>
                <w:color w:val="000000"/>
              </w:rPr>
              <w:t xml:space="preserve">J. Duffy, Professor of Civil &amp; Environmental Engineering, The Pennsylvania State University, 212 </w:t>
            </w:r>
            <w:proofErr w:type="spellStart"/>
            <w:r>
              <w:rPr>
                <w:rFonts w:ascii="Cambria" w:hAnsi="Cambria"/>
                <w:color w:val="000000"/>
              </w:rPr>
              <w:t>Sackett</w:t>
            </w:r>
            <w:proofErr w:type="spellEnd"/>
            <w:r>
              <w:rPr>
                <w:rFonts w:ascii="Cambria" w:hAnsi="Cambria"/>
                <w:color w:val="000000"/>
              </w:rPr>
              <w:t xml:space="preserve"> Building, University Park, PA 16802, (814) 863-4384</w:t>
            </w:r>
          </w:p>
          <w:p w:rsidR="00000000" w:rsidRDefault="006C0C1B">
            <w:pPr>
              <w:spacing w:after="0" w:line="240" w:lineRule="auto"/>
            </w:pPr>
            <w:r>
              <w:rPr>
                <w:rFonts w:ascii="Cambria" w:hAnsi="Cambria"/>
                <w:color w:val="000000"/>
              </w:rPr>
              <w:t>cxd11@psu.edu</w:t>
            </w:r>
          </w:p>
          <w:p w:rsidR="00000000" w:rsidRDefault="006C0C1B">
            <w:pPr>
              <w:spacing w:after="0" w:line="240" w:lineRule="auto"/>
            </w:pPr>
            <w:r>
              <w:rPr>
                <w:rFonts w:ascii="Cambria" w:hAnsi="Cambria"/>
                <w:color w:val="000000"/>
              </w:rPr>
              <w:t> </w:t>
            </w:r>
          </w:p>
        </w:tc>
      </w:tr>
      <w:tr w:rsidR="00000000">
        <w:trPr>
          <w:trHeight w:val="637"/>
          <w:jc w:val="center"/>
        </w:trPr>
        <w:tc>
          <w:tcPr>
            <w:tcW w:w="1976"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Data Value Descriptions</w:t>
            </w:r>
          </w:p>
        </w:tc>
        <w:tc>
          <w:tcPr>
            <w:tcW w:w="4603" w:type="dxa"/>
            <w:tcBorders>
              <w:top w:val="single" w:sz="8" w:space="0" w:color="auto"/>
              <w:left w:val="nil"/>
              <w:bottom w:val="single" w:sz="4" w:space="0" w:color="auto"/>
              <w:right w:val="single" w:sz="8" w:space="0" w:color="auto"/>
            </w:tcBorders>
            <w:shd w:val="clear" w:color="auto" w:fill="D3DFEE"/>
            <w:tcMar>
              <w:top w:w="0" w:type="dxa"/>
              <w:left w:w="108" w:type="dxa"/>
              <w:bottom w:w="0" w:type="dxa"/>
              <w:right w:w="108" w:type="dxa"/>
            </w:tcMar>
            <w:vAlign w:val="center"/>
            <w:hideMark/>
          </w:tcPr>
          <w:p w:rsidR="00000000" w:rsidRDefault="006C0C1B">
            <w:pPr>
              <w:spacing w:after="0" w:line="240" w:lineRule="auto"/>
            </w:pPr>
            <w:r>
              <w:t>Version I</w:t>
            </w:r>
          </w:p>
        </w:tc>
        <w:tc>
          <w:tcPr>
            <w:tcW w:w="4603" w:type="dxa"/>
            <w:tcBorders>
              <w:top w:val="single" w:sz="8" w:space="0" w:color="auto"/>
              <w:left w:val="nil"/>
              <w:bottom w:val="single" w:sz="4" w:space="0" w:color="auto"/>
              <w:right w:val="nil"/>
            </w:tcBorders>
            <w:shd w:val="clear" w:color="auto" w:fill="D3DFEE"/>
            <w:vAlign w:val="center"/>
            <w:hideMark/>
          </w:tcPr>
          <w:p w:rsidR="00000000" w:rsidRDefault="006C0C1B">
            <w:pPr>
              <w:spacing w:after="0" w:line="240" w:lineRule="auto"/>
            </w:pPr>
            <w:r>
              <w:t xml:space="preserve">See the directory </w:t>
            </w:r>
            <w:proofErr w:type="spellStart"/>
            <w:r>
              <w:t>versionI</w:t>
            </w:r>
            <w:proofErr w:type="spellEnd"/>
          </w:p>
        </w:tc>
      </w:tr>
      <w:tr w:rsidR="00000000">
        <w:trPr>
          <w:trHeight w:val="638"/>
          <w:jc w:val="center"/>
        </w:trPr>
        <w:tc>
          <w:tcPr>
            <w:tcW w:w="0" w:type="auto"/>
            <w:vMerge/>
            <w:tcBorders>
              <w:top w:val="nil"/>
              <w:left w:val="nil"/>
              <w:bottom w:val="nil"/>
              <w:right w:val="single" w:sz="8" w:space="0" w:color="auto"/>
            </w:tcBorders>
            <w:vAlign w:val="center"/>
            <w:hideMark/>
          </w:tcPr>
          <w:p w:rsidR="00000000" w:rsidRDefault="006C0C1B">
            <w:pPr>
              <w:spacing w:after="0" w:line="240" w:lineRule="auto"/>
            </w:pPr>
          </w:p>
        </w:tc>
        <w:tc>
          <w:tcPr>
            <w:tcW w:w="4603" w:type="dxa"/>
            <w:tcBorders>
              <w:top w:val="single" w:sz="8"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000000" w:rsidRDefault="006C0C1B">
            <w:pPr>
              <w:spacing w:after="0" w:line="240" w:lineRule="auto"/>
            </w:pPr>
            <w:r>
              <w:t>Version II</w:t>
            </w:r>
          </w:p>
        </w:tc>
        <w:tc>
          <w:tcPr>
            <w:tcW w:w="4603" w:type="dxa"/>
            <w:tcBorders>
              <w:top w:val="single" w:sz="8" w:space="0" w:color="auto"/>
              <w:left w:val="nil"/>
              <w:bottom w:val="single" w:sz="8" w:space="0" w:color="auto"/>
              <w:right w:val="nil"/>
            </w:tcBorders>
            <w:shd w:val="clear" w:color="auto" w:fill="95B3D7" w:themeFill="accent1" w:themeFillTint="99"/>
            <w:vAlign w:val="center"/>
            <w:hideMark/>
          </w:tcPr>
          <w:p w:rsidR="00000000" w:rsidRDefault="006C0C1B">
            <w:pPr>
              <w:spacing w:after="0" w:line="240" w:lineRule="auto"/>
            </w:pPr>
            <w:r>
              <w:t xml:space="preserve">See the directory </w:t>
            </w:r>
            <w:proofErr w:type="spellStart"/>
            <w:r>
              <w:t>versionII</w:t>
            </w:r>
            <w:proofErr w:type="spellEnd"/>
          </w:p>
        </w:tc>
      </w:tr>
      <w:tr w:rsidR="00000000">
        <w:trPr>
          <w:trHeight w:val="637"/>
          <w:jc w:val="center"/>
        </w:trPr>
        <w:tc>
          <w:tcPr>
            <w:tcW w:w="0" w:type="auto"/>
            <w:vMerge/>
            <w:tcBorders>
              <w:top w:val="nil"/>
              <w:left w:val="nil"/>
              <w:bottom w:val="nil"/>
              <w:right w:val="single" w:sz="8" w:space="0" w:color="auto"/>
            </w:tcBorders>
            <w:vAlign w:val="center"/>
            <w:hideMark/>
          </w:tcPr>
          <w:p w:rsidR="00000000" w:rsidRDefault="006C0C1B">
            <w:pPr>
              <w:spacing w:after="0" w:line="240" w:lineRule="auto"/>
            </w:pPr>
          </w:p>
        </w:tc>
        <w:tc>
          <w:tcPr>
            <w:tcW w:w="4603" w:type="dxa"/>
            <w:tcBorders>
              <w:top w:val="single" w:sz="8" w:space="0" w:color="auto"/>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000000" w:rsidRDefault="006C0C1B">
            <w:pPr>
              <w:spacing w:after="0" w:line="240" w:lineRule="auto"/>
            </w:pPr>
            <w:r>
              <w:t>Version III</w:t>
            </w:r>
          </w:p>
        </w:tc>
        <w:tc>
          <w:tcPr>
            <w:tcW w:w="4603" w:type="dxa"/>
            <w:tcBorders>
              <w:top w:val="single" w:sz="8" w:space="0" w:color="auto"/>
              <w:left w:val="nil"/>
              <w:bottom w:val="single" w:sz="4" w:space="0" w:color="auto"/>
              <w:right w:val="nil"/>
            </w:tcBorders>
            <w:shd w:val="clear" w:color="auto" w:fill="DBE5F1" w:themeFill="accent1" w:themeFillTint="33"/>
            <w:vAlign w:val="center"/>
            <w:hideMark/>
          </w:tcPr>
          <w:p w:rsidR="00000000" w:rsidRDefault="006C0C1B">
            <w:pPr>
              <w:spacing w:after="0" w:line="240" w:lineRule="auto"/>
            </w:pPr>
            <w:r>
              <w:t xml:space="preserve">See the directory </w:t>
            </w:r>
            <w:proofErr w:type="spellStart"/>
            <w:r>
              <w:t>versionIII</w:t>
            </w:r>
            <w:proofErr w:type="spellEnd"/>
          </w:p>
        </w:tc>
      </w:tr>
      <w:tr w:rsidR="00000000">
        <w:trPr>
          <w:trHeight w:val="637"/>
          <w:jc w:val="center"/>
        </w:trPr>
        <w:tc>
          <w:tcPr>
            <w:tcW w:w="0" w:type="auto"/>
            <w:tcBorders>
              <w:top w:val="single" w:sz="8" w:space="0" w:color="auto"/>
              <w:left w:val="nil"/>
              <w:bottom w:val="single" w:sz="8" w:space="0" w:color="auto"/>
              <w:right w:val="single" w:sz="8" w:space="0" w:color="auto"/>
            </w:tcBorders>
            <w:shd w:val="clear" w:color="auto" w:fill="FFFFFF"/>
            <w:vAlign w:val="center"/>
            <w:hideMark/>
          </w:tcPr>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Keywords</w:t>
            </w:r>
          </w:p>
          <w:p w:rsidR="00000000" w:rsidRDefault="006C0C1B">
            <w:pPr>
              <w:spacing w:after="0" w:line="240" w:lineRule="auto"/>
            </w:pPr>
            <w:r>
              <w:rPr>
                <w:rFonts w:ascii="Cambria" w:hAnsi="Cambria"/>
                <w:color w:val="000000"/>
              </w:rPr>
              <w:t> </w:t>
            </w:r>
          </w:p>
        </w:tc>
        <w:tc>
          <w:tcPr>
            <w:tcW w:w="9206" w:type="dxa"/>
            <w:gridSpan w:val="2"/>
            <w:tcBorders>
              <w:top w:val="single" w:sz="4" w:space="0" w:color="auto"/>
              <w:left w:val="nil"/>
              <w:bottom w:val="single" w:sz="8" w:space="0" w:color="auto"/>
              <w:right w:val="nil"/>
            </w:tcBorders>
            <w:shd w:val="clear" w:color="auto" w:fill="95B3D7" w:themeFill="accent1" w:themeFillTint="99"/>
            <w:tcMar>
              <w:top w:w="0" w:type="dxa"/>
              <w:left w:w="108" w:type="dxa"/>
              <w:bottom w:w="0" w:type="dxa"/>
              <w:right w:w="108" w:type="dxa"/>
            </w:tcMar>
            <w:vAlign w:val="center"/>
            <w:hideMark/>
          </w:tcPr>
          <w:p w:rsidR="00000000" w:rsidRDefault="006C0C1B">
            <w:pPr>
              <w:spacing w:after="0" w:line="240" w:lineRule="auto"/>
            </w:pPr>
            <w:proofErr w:type="spellStart"/>
            <w:r>
              <w:rPr>
                <w:rFonts w:ascii="Cambria" w:hAnsi="Cambria"/>
                <w:color w:val="000000"/>
              </w:rPr>
              <w:t>Shalehills</w:t>
            </w:r>
            <w:proofErr w:type="spellEnd"/>
            <w:r>
              <w:rPr>
                <w:rFonts w:ascii="Cambria" w:hAnsi="Cambria"/>
                <w:color w:val="000000"/>
              </w:rPr>
              <w:t>, CZO, Reanalysis, PIHM</w:t>
            </w:r>
          </w:p>
        </w:tc>
      </w:tr>
      <w:tr w:rsidR="00000000">
        <w:trPr>
          <w:jc w:val="center"/>
        </w:trPr>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Citation</w:t>
            </w:r>
          </w:p>
          <w:p w:rsidR="00000000" w:rsidRDefault="006C0C1B">
            <w:pPr>
              <w:spacing w:after="0" w:line="240" w:lineRule="auto"/>
            </w:pPr>
            <w:r>
              <w:rPr>
                <w:rFonts w:ascii="Cambria" w:hAnsi="Cambria"/>
                <w:color w:val="000000"/>
              </w:rPr>
              <w:t> </w:t>
            </w:r>
          </w:p>
        </w:tc>
        <w:tc>
          <w:tcPr>
            <w:tcW w:w="9206" w:type="dxa"/>
            <w:gridSpan w:val="2"/>
            <w:tcBorders>
              <w:top w:val="nil"/>
              <w:left w:val="nil"/>
              <w:bottom w:val="single" w:sz="8" w:space="0" w:color="auto"/>
              <w:right w:val="nil"/>
            </w:tcBorders>
            <w:shd w:val="clear" w:color="auto" w:fill="DBE5F1" w:themeFill="accent1" w:themeFillTint="33"/>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xml:space="preserve">The following acknowledgment should accompany any publication or citation of these data:  </w:t>
            </w:r>
            <w:r>
              <w:rPr>
                <w:rFonts w:ascii="Cambria" w:hAnsi="Cambria"/>
                <w:color w:val="000000"/>
              </w:rPr>
              <w:t>the NSF-supported Shale Hills Susquehanna Critical Zone Observatory provided Logistical support and/or data.</w:t>
            </w:r>
          </w:p>
          <w:p w:rsidR="00000000" w:rsidRDefault="006C0C1B">
            <w:pPr>
              <w:spacing w:after="0" w:line="240" w:lineRule="auto"/>
            </w:pPr>
            <w:r>
              <w:rPr>
                <w:rFonts w:ascii="Cambria" w:hAnsi="Cambria"/>
                <w:color w:val="000000"/>
              </w:rPr>
              <w:t> </w:t>
            </w:r>
          </w:p>
        </w:tc>
      </w:tr>
      <w:tr w:rsidR="00000000">
        <w:trPr>
          <w:jc w:val="center"/>
        </w:trPr>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Publications</w:t>
            </w:r>
          </w:p>
          <w:p w:rsidR="00000000" w:rsidRDefault="006C0C1B">
            <w:pPr>
              <w:spacing w:after="0" w:line="240" w:lineRule="auto"/>
            </w:pPr>
            <w:r>
              <w:rPr>
                <w:rFonts w:ascii="Cambria" w:hAnsi="Cambria"/>
                <w:color w:val="000000"/>
              </w:rPr>
              <w:t> </w:t>
            </w:r>
          </w:p>
        </w:tc>
        <w:tc>
          <w:tcPr>
            <w:tcW w:w="9206" w:type="dxa"/>
            <w:gridSpan w:val="2"/>
            <w:tcBorders>
              <w:top w:val="nil"/>
              <w:left w:val="nil"/>
              <w:bottom w:val="single" w:sz="8" w:space="0" w:color="auto"/>
              <w:right w:val="nil"/>
            </w:tcBorders>
            <w:shd w:val="clear" w:color="auto" w:fill="95B3D7" w:themeFill="accent1" w:themeFillTint="99"/>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w:t>
            </w:r>
          </w:p>
        </w:tc>
      </w:tr>
      <w:tr w:rsidR="00000000">
        <w:trPr>
          <w:jc w:val="center"/>
        </w:trPr>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Data Use Notes</w:t>
            </w:r>
          </w:p>
          <w:p w:rsidR="00000000" w:rsidRDefault="006C0C1B">
            <w:pPr>
              <w:spacing w:after="0" w:line="240" w:lineRule="auto"/>
            </w:pPr>
            <w:r>
              <w:rPr>
                <w:rFonts w:ascii="Cambria" w:hAnsi="Cambria"/>
                <w:color w:val="000000"/>
              </w:rPr>
              <w:t> </w:t>
            </w:r>
          </w:p>
          <w:p w:rsidR="00000000" w:rsidRDefault="006C0C1B">
            <w:pPr>
              <w:spacing w:after="0" w:line="240" w:lineRule="auto"/>
            </w:pPr>
            <w:r>
              <w:rPr>
                <w:rFonts w:ascii="Cambria" w:hAnsi="Cambria"/>
                <w:color w:val="000000"/>
              </w:rPr>
              <w:t> </w:t>
            </w:r>
          </w:p>
        </w:tc>
        <w:tc>
          <w:tcPr>
            <w:tcW w:w="9206" w:type="dxa"/>
            <w:gridSpan w:val="2"/>
            <w:tcBorders>
              <w:top w:val="nil"/>
              <w:left w:val="nil"/>
              <w:bottom w:val="single" w:sz="8" w:space="0" w:color="auto"/>
              <w:right w:val="nil"/>
            </w:tcBorders>
            <w:shd w:val="clear" w:color="auto" w:fill="DBE5F1" w:themeFill="accent1" w:themeFillTint="33"/>
            <w:tcMar>
              <w:top w:w="0" w:type="dxa"/>
              <w:left w:w="108" w:type="dxa"/>
              <w:bottom w:w="0" w:type="dxa"/>
              <w:right w:w="108" w:type="dxa"/>
            </w:tcMar>
            <w:vAlign w:val="center"/>
            <w:hideMark/>
          </w:tcPr>
          <w:p w:rsidR="00000000" w:rsidRDefault="006C0C1B">
            <w:pPr>
              <w:spacing w:after="0" w:line="240" w:lineRule="auto"/>
            </w:pPr>
            <w:r>
              <w:rPr>
                <w:rFonts w:ascii="Cambria" w:hAnsi="Cambria"/>
                <w:color w:val="000000"/>
              </w:rPr>
              <w:t xml:space="preserve">The user of Shale Hills Susquehanna CZO data agrees to provide proper acknowledgment with </w:t>
            </w:r>
            <w:r>
              <w:rPr>
                <w:rFonts w:ascii="Cambria" w:hAnsi="Cambria"/>
                <w:color w:val="000000"/>
              </w:rPr>
              <w:t>each usage of the data.  Citation of the name(s) of the investigator(s) responsible for the data set, in addition to the generic statement above, constitutes proper acknowledgment.  Author(s) (including Shale Hills Susquehanna CZO investigators) of publish</w:t>
            </w:r>
            <w:r>
              <w:rPr>
                <w:rFonts w:ascii="Cambria" w:hAnsi="Cambria"/>
                <w:color w:val="000000"/>
              </w:rPr>
              <w:t>ed material that makes use of previously unpublished Shale Hills Susquehanna CZO data agree to provide the Shale Hills Susquehanna CZO data manager with four (4) copies (preferably reprints) of that material for binding as soon as it becomes available.  Th</w:t>
            </w:r>
            <w:r>
              <w:rPr>
                <w:rFonts w:ascii="Cambria" w:hAnsi="Cambria"/>
                <w:color w:val="000000"/>
              </w:rPr>
              <w:t>e user of Shale Hills Susquehanna CZO data agrees not to resell or redistribute shared data.  The user of these data should be aware that, while efforts have been taken to ensure that these data are of the highest quality, there is no guarantee of perfecti</w:t>
            </w:r>
            <w:r>
              <w:rPr>
                <w:rFonts w:ascii="Cambria" w:hAnsi="Cambria"/>
                <w:color w:val="000000"/>
              </w:rPr>
              <w:t>on for the data contained herein and the possibility of errors exists.  These data are defined as either public or private, such that a password may be required for access.</w:t>
            </w:r>
          </w:p>
        </w:tc>
      </w:tr>
      <w:tr w:rsidR="00000000">
        <w:trPr>
          <w:jc w:val="center"/>
        </w:trPr>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6C0C1B">
            <w:pPr>
              <w:spacing w:after="0" w:line="240" w:lineRule="auto"/>
            </w:pPr>
          </w:p>
        </w:tc>
        <w:tc>
          <w:tcPr>
            <w:tcW w:w="9206" w:type="dxa"/>
            <w:gridSpan w:val="2"/>
            <w:tcBorders>
              <w:top w:val="nil"/>
              <w:left w:val="nil"/>
              <w:bottom w:val="single" w:sz="8" w:space="0" w:color="auto"/>
              <w:right w:val="nil"/>
            </w:tcBorders>
            <w:shd w:val="clear" w:color="auto" w:fill="A7BFDE"/>
            <w:tcMar>
              <w:top w:w="0" w:type="dxa"/>
              <w:left w:w="108" w:type="dxa"/>
              <w:bottom w:w="0" w:type="dxa"/>
              <w:right w:w="108" w:type="dxa"/>
            </w:tcMar>
            <w:vAlign w:val="center"/>
          </w:tcPr>
          <w:p w:rsidR="00000000" w:rsidRDefault="006C0C1B">
            <w:pPr>
              <w:spacing w:after="0" w:line="240" w:lineRule="auto"/>
            </w:pPr>
          </w:p>
        </w:tc>
      </w:tr>
    </w:tbl>
    <w:p w:rsidR="006C0C1B" w:rsidRDefault="006C0C1B">
      <w:r>
        <w:t> </w:t>
      </w:r>
    </w:p>
    <w:sectPr w:rsidR="006C0C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E13F66"/>
    <w:rsid w:val="006C0C1B"/>
    <w:rsid w:val="00E1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cs="Times New Roman"/>
      <w:sz w:val="22"/>
      <w:szCs w:val="22"/>
    </w:rPr>
  </w:style>
  <w:style w:type="paragraph" w:styleId="Heading1">
    <w:name w:val="heading 1"/>
    <w:basedOn w:val="Normal"/>
    <w:link w:val="Heading1Char"/>
    <w:uiPriority w:val="9"/>
    <w:qFormat/>
    <w:pPr>
      <w:keepNext/>
      <w:spacing w:before="480" w:after="0"/>
      <w:outlineLvl w:val="0"/>
    </w:pPr>
    <w:rPr>
      <w:rFonts w:ascii="Cambria"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Cambria" w:hAnsi="Cambria" w:hint="default"/>
      <w:b/>
      <w:bCs/>
      <w:color w:val="365F91"/>
    </w:rPr>
  </w:style>
  <w:style w:type="paragraph" w:styleId="Title">
    <w:name w:val="Title"/>
    <w:basedOn w:val="Normal"/>
    <w:link w:val="TitleChar"/>
    <w:uiPriority w:val="10"/>
    <w:qFormat/>
    <w:pPr>
      <w:spacing w:after="300" w:line="240" w:lineRule="auto"/>
    </w:pPr>
    <w:rPr>
      <w:rFonts w:ascii="Cambria" w:hAnsi="Cambria"/>
      <w:color w:val="17365D"/>
      <w:spacing w:val="5"/>
      <w:sz w:val="52"/>
      <w:szCs w:val="52"/>
    </w:rPr>
  </w:style>
  <w:style w:type="character" w:customStyle="1" w:styleId="TitleChar">
    <w:name w:val="Title Char"/>
    <w:basedOn w:val="DefaultParagraphFont"/>
    <w:link w:val="Title"/>
    <w:uiPriority w:val="10"/>
    <w:locked/>
    <w:rPr>
      <w:rFonts w:ascii="Cambria" w:hAnsi="Cambria" w:hint="default"/>
      <w:color w:val="17365D"/>
      <w:spacing w:val="5"/>
    </w:rPr>
  </w:style>
  <w:style w:type="paragraph" w:styleId="ListParagraph">
    <w:name w:val="List Paragraph"/>
    <w:basedOn w:val="Normal"/>
    <w:uiPriority w:val="34"/>
    <w:qFormat/>
    <w:pPr>
      <w:ind w:left="720"/>
    </w:pPr>
  </w:style>
  <w:style w:type="paragraph" w:customStyle="1" w:styleId="msotitlecxspfirst">
    <w:name w:val="msotitlecxspfirst"/>
    <w:basedOn w:val="Normal"/>
    <w:pPr>
      <w:spacing w:after="0" w:line="240" w:lineRule="auto"/>
    </w:pPr>
    <w:rPr>
      <w:rFonts w:ascii="Cambria" w:hAnsi="Cambria"/>
      <w:color w:val="17365D"/>
      <w:spacing w:val="5"/>
      <w:sz w:val="52"/>
      <w:szCs w:val="52"/>
    </w:rPr>
  </w:style>
  <w:style w:type="paragraph" w:customStyle="1" w:styleId="msotitlecxspmiddle">
    <w:name w:val="msotitlecxspmiddle"/>
    <w:basedOn w:val="Normal"/>
    <w:pPr>
      <w:spacing w:after="0" w:line="240" w:lineRule="auto"/>
    </w:pPr>
    <w:rPr>
      <w:rFonts w:ascii="Cambria" w:hAnsi="Cambria"/>
      <w:color w:val="17365D"/>
      <w:spacing w:val="5"/>
      <w:sz w:val="52"/>
      <w:szCs w:val="52"/>
    </w:rPr>
  </w:style>
  <w:style w:type="paragraph" w:customStyle="1" w:styleId="msotitlecxsplast">
    <w:name w:val="msotitlecxsplast"/>
    <w:basedOn w:val="Normal"/>
    <w:pPr>
      <w:spacing w:after="300" w:line="240" w:lineRule="auto"/>
    </w:pPr>
    <w:rPr>
      <w:rFonts w:ascii="Cambria" w:hAnsi="Cambria"/>
      <w:color w:val="17365D"/>
      <w:spacing w:val="5"/>
      <w:sz w:val="52"/>
      <w:szCs w:val="52"/>
    </w:r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rFonts w:cs="Calibri"/>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cs="Times New Roman"/>
      <w:sz w:val="22"/>
      <w:szCs w:val="22"/>
    </w:rPr>
  </w:style>
  <w:style w:type="paragraph" w:styleId="Heading1">
    <w:name w:val="heading 1"/>
    <w:basedOn w:val="Normal"/>
    <w:link w:val="Heading1Char"/>
    <w:uiPriority w:val="9"/>
    <w:qFormat/>
    <w:pPr>
      <w:keepNext/>
      <w:spacing w:before="480" w:after="0"/>
      <w:outlineLvl w:val="0"/>
    </w:pPr>
    <w:rPr>
      <w:rFonts w:ascii="Cambria"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Cambria" w:hAnsi="Cambria" w:hint="default"/>
      <w:b/>
      <w:bCs/>
      <w:color w:val="365F91"/>
    </w:rPr>
  </w:style>
  <w:style w:type="paragraph" w:styleId="Title">
    <w:name w:val="Title"/>
    <w:basedOn w:val="Normal"/>
    <w:link w:val="TitleChar"/>
    <w:uiPriority w:val="10"/>
    <w:qFormat/>
    <w:pPr>
      <w:spacing w:after="300" w:line="240" w:lineRule="auto"/>
    </w:pPr>
    <w:rPr>
      <w:rFonts w:ascii="Cambria" w:hAnsi="Cambria"/>
      <w:color w:val="17365D"/>
      <w:spacing w:val="5"/>
      <w:sz w:val="52"/>
      <w:szCs w:val="52"/>
    </w:rPr>
  </w:style>
  <w:style w:type="character" w:customStyle="1" w:styleId="TitleChar">
    <w:name w:val="Title Char"/>
    <w:basedOn w:val="DefaultParagraphFont"/>
    <w:link w:val="Title"/>
    <w:uiPriority w:val="10"/>
    <w:locked/>
    <w:rPr>
      <w:rFonts w:ascii="Cambria" w:hAnsi="Cambria" w:hint="default"/>
      <w:color w:val="17365D"/>
      <w:spacing w:val="5"/>
    </w:rPr>
  </w:style>
  <w:style w:type="paragraph" w:styleId="ListParagraph">
    <w:name w:val="List Paragraph"/>
    <w:basedOn w:val="Normal"/>
    <w:uiPriority w:val="34"/>
    <w:qFormat/>
    <w:pPr>
      <w:ind w:left="720"/>
    </w:pPr>
  </w:style>
  <w:style w:type="paragraph" w:customStyle="1" w:styleId="msotitlecxspfirst">
    <w:name w:val="msotitlecxspfirst"/>
    <w:basedOn w:val="Normal"/>
    <w:pPr>
      <w:spacing w:after="0" w:line="240" w:lineRule="auto"/>
    </w:pPr>
    <w:rPr>
      <w:rFonts w:ascii="Cambria" w:hAnsi="Cambria"/>
      <w:color w:val="17365D"/>
      <w:spacing w:val="5"/>
      <w:sz w:val="52"/>
      <w:szCs w:val="52"/>
    </w:rPr>
  </w:style>
  <w:style w:type="paragraph" w:customStyle="1" w:styleId="msotitlecxspmiddle">
    <w:name w:val="msotitlecxspmiddle"/>
    <w:basedOn w:val="Normal"/>
    <w:pPr>
      <w:spacing w:after="0" w:line="240" w:lineRule="auto"/>
    </w:pPr>
    <w:rPr>
      <w:rFonts w:ascii="Cambria" w:hAnsi="Cambria"/>
      <w:color w:val="17365D"/>
      <w:spacing w:val="5"/>
      <w:sz w:val="52"/>
      <w:szCs w:val="52"/>
    </w:rPr>
  </w:style>
  <w:style w:type="paragraph" w:customStyle="1" w:styleId="msotitlecxsplast">
    <w:name w:val="msotitlecxsplast"/>
    <w:basedOn w:val="Normal"/>
    <w:pPr>
      <w:spacing w:after="300" w:line="240" w:lineRule="auto"/>
    </w:pPr>
    <w:rPr>
      <w:rFonts w:ascii="Cambria" w:hAnsi="Cambria"/>
      <w:color w:val="17365D"/>
      <w:spacing w:val="5"/>
      <w:sz w:val="52"/>
      <w:szCs w:val="52"/>
    </w:r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rFonts w:cs="Calibri"/>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 Arthur</dc:creator>
  <cp:lastModifiedBy>Dan K. Arthur</cp:lastModifiedBy>
  <cp:revision>2</cp:revision>
  <dcterms:created xsi:type="dcterms:W3CDTF">2014-10-22T13:24:00Z</dcterms:created>
  <dcterms:modified xsi:type="dcterms:W3CDTF">2014-10-22T13:24:00Z</dcterms:modified>
</cp:coreProperties>
</file>