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contextualSpacing w:val="0"/>
      </w:pPr>
      <w:r w:rsidDel="00000000" w:rsidR="00000000" w:rsidRPr="00000000">
        <w:rPr>
          <w:sz w:val="36"/>
          <w:szCs w:val="36"/>
          <w:rtl w:val="0"/>
        </w:rPr>
        <w:t xml:space="preserve">SSHCZO Metadata Worksheet</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tbl>
      <w:tblPr>
        <w:tblStyle w:val="Table1"/>
        <w:bidi w:val="0"/>
        <w:tblW w:w="11235.0" w:type="dxa"/>
        <w:jc w:val="left"/>
        <w:tblInd w:w="-115.0" w:type="dxa"/>
        <w:tblBorders>
          <w:top w:color="4f81bd" w:space="0" w:sz="8" w:val="single"/>
          <w:left w:color="4f81bd" w:space="0" w:sz="8" w:val="single"/>
          <w:bottom w:color="4f81bd" w:space="0" w:sz="8" w:val="single"/>
          <w:right w:color="4f81bd" w:space="0" w:sz="8" w:val="single"/>
          <w:insideH w:color="4f81bd" w:space="0" w:sz="8" w:val="single"/>
          <w:insideV w:color="4f81bd" w:space="0" w:sz="8" w:val="single"/>
        </w:tblBorders>
        <w:tblLayout w:type="fixed"/>
        <w:tblLook w:val="0000"/>
      </w:tblPr>
      <w:tblGrid>
        <w:gridCol w:w="1995"/>
        <w:gridCol w:w="9240"/>
        <w:tblGridChange w:id="0">
          <w:tblGrid>
            <w:gridCol w:w="1995"/>
            <w:gridCol w:w="9240"/>
          </w:tblGrid>
        </w:tblGridChange>
      </w:tblGrid>
      <w:tr>
        <w:tc>
          <w:tcPr>
            <w:tcBorders>
              <w:top w:color="000000" w:space="0" w:sz="0" w:val="nil"/>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Data File Name</w:t>
            </w:r>
            <w:r w:rsidDel="00000000" w:rsidR="00000000" w:rsidRPr="00000000">
              <w:rPr>
                <w:rtl w:val="0"/>
              </w:rPr>
            </w:r>
          </w:p>
        </w:tc>
        <w:tc>
          <w:tcPr>
            <w:shd w:fill="c6d9f1"/>
          </w:tcPr>
          <w:p w:rsidR="00000000" w:rsidDel="00000000" w:rsidP="00000000" w:rsidRDefault="00000000" w:rsidRPr="00000000">
            <w:pPr>
              <w:spacing w:after="0" w:line="240" w:lineRule="auto"/>
              <w:contextualSpacing w:val="0"/>
            </w:pPr>
            <w:r w:rsidDel="00000000" w:rsidR="00000000" w:rsidRPr="00000000">
              <w:rPr>
                <w:rtl w:val="0"/>
              </w:rPr>
              <w:t xml:space="preserve">leaflittergarnershale.xlsx</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Date Prepared</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4/1/2016</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Descriptive Title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6d9f1"/>
          </w:tcPr>
          <w:p w:rsidR="00000000" w:rsidDel="00000000" w:rsidP="00000000" w:rsidRDefault="00000000" w:rsidRPr="00000000">
            <w:pPr>
              <w:spacing w:after="0" w:line="240" w:lineRule="auto"/>
              <w:contextualSpacing w:val="0"/>
            </w:pPr>
            <w:r w:rsidDel="00000000" w:rsidR="00000000" w:rsidRPr="00000000">
              <w:rPr>
                <w:rtl w:val="0"/>
              </w:rPr>
              <w:t xml:space="preserve">Leaf Litter Collection Data 2015</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Update Frequency</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Weekly then bi-weekly</w:t>
            </w:r>
            <w:r w:rsidDel="00000000" w:rsidR="00000000" w:rsidRPr="00000000">
              <w:rPr>
                <w:rtl w:val="0"/>
              </w:rPr>
            </w:r>
          </w:p>
        </w:tc>
      </w:tr>
      <w:tr>
        <w:trPr>
          <w:trHeight w:val="3860" w:hRule="atLeast"/>
        </w:trP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Abstract</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6d9f1"/>
          </w:tcPr>
          <w:p w:rsidR="00000000" w:rsidDel="00000000" w:rsidP="00000000" w:rsidRDefault="00000000" w:rsidRPr="00000000">
            <w:pPr>
              <w:spacing w:after="0" w:line="240" w:lineRule="auto"/>
              <w:contextualSpacing w:val="0"/>
            </w:pPr>
            <w:r w:rsidDel="00000000" w:rsidR="00000000" w:rsidRPr="00000000">
              <w:rPr>
                <w:rtl w:val="0"/>
              </w:rPr>
              <w:t xml:space="preserve">Dry weights of leaf litter collected during the Fall of 2015 from 54 macroplot locations (2 samples from each site, which were then averaged) across Shale Hills and Garner Run.This data was collected in an effort to determine leaf senescence phenological differences across slope position, slope aspect, and lithology type.</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Investigator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Contact Info</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Dr. David Eissenstat, Professor of Woody Plant Physiology, Dept. of Ecosystem Science and Management, The Pennsylvania State University, 201 Forest Resources Building, University Park, PA, 16802, 814.863.3371, dme9@psu.edu, and Dr. Margot Kaye, Associate Professor of Forest Ecology, Dept. of Ecosystem Science and Management, The Pennsylvania State University, 303 Forest Resources Building, University Park, PA, 16802, 801-865-4841, mwk12@psu.edu</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Data Value Descriptions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6d9f1"/>
          </w:tcPr>
          <w:p w:rsidR="00000000" w:rsidDel="00000000" w:rsidP="00000000" w:rsidRDefault="00000000" w:rsidRPr="00000000">
            <w:pPr>
              <w:numPr>
                <w:ilvl w:val="0"/>
                <w:numId w:val="1"/>
              </w:numPr>
              <w:spacing w:after="0" w:line="240" w:lineRule="auto"/>
              <w:ind w:left="720" w:hanging="360"/>
              <w:rPr>
                <w:color w:val="000000"/>
              </w:rPr>
            </w:pPr>
            <w:r w:rsidDel="00000000" w:rsidR="00000000" w:rsidRPr="00000000">
              <w:rPr>
                <w:rtl w:val="0"/>
              </w:rPr>
              <w:t xml:space="preserve">COL1: Label=Macroplot, sampling site, bolded entries indicate that the value is an average.</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COL2: Label=Date, Time of sample collection given in MM/DD/YYYY format.</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COL3: Label=Dry Weight (g), Mass of each sample after drying given in grams, bolded entries are the average of A and B from the same site.</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COL4: Label=Mass per Unit Area (g/m2), Mass of each sample divided by the area of the trap, bloded entries are the average of A and B from the same site.</w:t>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Keywords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tree, slope position, slope aspect, leaf senescence, lithology</w:t>
            </w: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Methods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shd w:fill="c6d9f1"/>
          </w:tcPr>
          <w:p w:rsidR="00000000" w:rsidDel="00000000" w:rsidP="00000000" w:rsidRDefault="00000000" w:rsidRPr="00000000">
            <w:pPr>
              <w:numPr>
                <w:ilvl w:val="0"/>
                <w:numId w:val="1"/>
              </w:numPr>
              <w:spacing w:after="0" w:line="240" w:lineRule="auto"/>
              <w:ind w:left="720" w:hanging="360"/>
              <w:rPr>
                <w:color w:val="000000"/>
              </w:rPr>
            </w:pPr>
            <w:r w:rsidDel="00000000" w:rsidR="00000000" w:rsidRPr="00000000">
              <w:rPr>
                <w:rtl w:val="0"/>
              </w:rPr>
              <w:t xml:space="preserve">Leaf litter traps were set up at macroplot sites, 2 at each location</w:t>
            </w:r>
            <w:r w:rsidDel="00000000" w:rsidR="00000000" w:rsidRPr="00000000">
              <w:rPr>
                <w:rtl w:val="0"/>
              </w:rPr>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During the Fall, leaves were collected on a weekly, then bi-weekly basis</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Leaves were dried in a drying oven for 48 hours after collection but before measurement</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Sample mass was then measured on a scale and recorded, then converted to mass per unit area</w:t>
            </w:r>
          </w:p>
          <w:p w:rsidR="00000000" w:rsidDel="00000000" w:rsidP="00000000" w:rsidRDefault="00000000" w:rsidRPr="00000000">
            <w:pPr>
              <w:numPr>
                <w:ilvl w:val="0"/>
                <w:numId w:val="1"/>
              </w:numPr>
              <w:spacing w:after="0" w:line="240" w:lineRule="auto"/>
              <w:ind w:left="720" w:hanging="360"/>
              <w:rPr/>
            </w:pPr>
            <w:r w:rsidDel="00000000" w:rsidR="00000000" w:rsidRPr="00000000">
              <w:rPr>
                <w:rtl w:val="0"/>
              </w:rPr>
              <w:t xml:space="preserve">The average of 2 samples from each location was then determined</w:t>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Sites</w:t>
            </w:r>
          </w:p>
        </w:tc>
        <w:tc>
          <w:tcPr>
            <w:tcBorders>
              <w:left w:color="4f81bd" w:space="0" w:sz="6" w:val="single"/>
            </w:tcBorders>
            <w:shd w:fill="8db3e2"/>
          </w:tcPr>
          <w:p w:rsidR="00000000" w:rsidDel="00000000" w:rsidP="00000000" w:rsidRDefault="00000000" w:rsidRPr="00000000">
            <w:pPr>
              <w:spacing w:after="0" w:line="240" w:lineRule="auto"/>
              <w:contextualSpacing w:val="0"/>
            </w:pPr>
            <w:r w:rsidDel="00000000" w:rsidR="00000000" w:rsidRPr="00000000">
              <w:rPr>
                <w:rtl w:val="0"/>
              </w:rPr>
              <w:t xml:space="preserve">Garner Run, Shale Hills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r>
        <w:tc>
          <w:tcPr>
            <w:tcBorders>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Publications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bottom w:color="4f81bd" w:space="0" w:sz="8" w:val="single"/>
            </w:tcBorders>
            <w:shd w:fill="c6d9f1"/>
          </w:tcPr>
          <w:p w:rsidR="00000000" w:rsidDel="00000000" w:rsidP="00000000" w:rsidRDefault="00000000" w:rsidRPr="00000000">
            <w:pPr>
              <w:spacing w:after="0" w:line="240" w:lineRule="auto"/>
              <w:contextualSpacing w:val="0"/>
            </w:pPr>
            <w:r w:rsidDel="00000000" w:rsidR="00000000" w:rsidRPr="00000000">
              <w:rPr>
                <w:rtl w:val="0"/>
              </w:rPr>
              <w:t xml:space="preserve">In preparation, contact David Eissenstat and Margot Kaye(above)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r>
      <w:tr>
        <w:tc>
          <w:tcPr>
            <w:tcBorders>
              <w:top w:color="4f81bd" w:space="0" w:sz="8" w:val="single"/>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Citation</w:t>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8db3e2"/>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The following acknowledgment should accompany any publication or citation of these data:  Logistical support and/or data were provided by the NSF-supported Susquehanna Shale Hills Critical Zone Observatory.</w:t>
            </w:r>
          </w:p>
        </w:tc>
      </w:tr>
      <w:tr>
        <w:tc>
          <w:tcPr>
            <w:tcBorders>
              <w:top w:color="4f81bd" w:space="0" w:sz="8" w:val="single"/>
              <w:left w:color="000000" w:space="0" w:sz="0" w:val="nil"/>
              <w:bottom w:color="000000" w:space="0" w:sz="0" w:val="nil"/>
              <w:right w:color="000000" w:space="0" w:sz="0" w:val="nil"/>
            </w:tcBorders>
            <w:shd w:fill="ffffff"/>
          </w:tcPr>
          <w:p w:rsidR="00000000" w:rsidDel="00000000" w:rsidP="00000000" w:rsidRDefault="00000000" w:rsidRPr="00000000">
            <w:pPr>
              <w:spacing w:after="0" w:line="240" w:lineRule="auto"/>
              <w:contextualSpacing w:val="0"/>
            </w:pPr>
            <w:r w:rsidDel="00000000" w:rsidR="00000000" w:rsidRPr="00000000">
              <w:rPr>
                <w:rFonts w:ascii="Cambria" w:cs="Cambria" w:eastAsia="Cambria" w:hAnsi="Cambria"/>
                <w:color w:val="000000"/>
                <w:rtl w:val="0"/>
              </w:rPr>
              <w:t xml:space="preserve">Data Use Notes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tc>
        <w:tc>
          <w:tcPr>
            <w:tcBorders>
              <w:top w:color="4f81bd" w:space="0" w:sz="8" w:val="single"/>
              <w:left w:color="4f81bd" w:space="0" w:sz="8" w:val="single"/>
              <w:bottom w:color="4f81bd" w:space="0" w:sz="8" w:val="single"/>
              <w:right w:color="4f81bd" w:space="0" w:sz="8" w:val="single"/>
            </w:tcBorders>
            <w:shd w:fill="c6d9f1"/>
          </w:tcPr>
          <w:p w:rsidR="00000000" w:rsidDel="00000000" w:rsidP="00000000" w:rsidRDefault="00000000" w:rsidRPr="00000000">
            <w:pPr>
              <w:spacing w:after="0" w:line="240" w:lineRule="auto"/>
              <w:contextualSpacing w:val="0"/>
            </w:pPr>
            <w:bookmarkStart w:colFirst="0" w:colLast="0" w:name="h.gjdgxs" w:id="0"/>
            <w:bookmarkEnd w:id="0"/>
            <w:r w:rsidDel="00000000" w:rsidR="00000000" w:rsidRPr="00000000">
              <w:rPr>
                <w:rFonts w:ascii="Cambria" w:cs="Cambria" w:eastAsia="Cambria" w:hAnsi="Cambria"/>
                <w:color w:val="000000"/>
                <w:rtl w:val="0"/>
              </w:rPr>
              <w:t xml:space="preserve">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000000" w:rsidDel="00000000" w:rsidP="00000000" w:rsidRDefault="00000000" w:rsidRPr="00000000">
      <w:pPr>
        <w:pStyle w:val="Heading1"/>
        <w:contextualSpacing w:val="0"/>
      </w:pPr>
      <w:r w:rsidDel="00000000" w:rsidR="00000000" w:rsidRPr="00000000">
        <w:rPr>
          <w:rtl w:val="0"/>
        </w:rPr>
      </w:r>
    </w:p>
    <w:sectPr>
      <w:pgSz w:h="15840" w:w="12240"/>
      <w:pgMar w:bottom="720" w:top="576" w:left="720" w:right="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300" w:before="0" w:line="240" w:lineRule="auto"/>
    </w:pPr>
    <w:rPr>
      <w:rFonts w:ascii="Cambria" w:cs="Cambria" w:eastAsia="Cambria" w:hAnsi="Cambria"/>
      <w:b w:val="0"/>
      <w:color w:val="17365d"/>
      <w:sz w:val="52"/>
      <w:szCs w:val="52"/>
    </w:rPr>
  </w:style>
  <w:style w:type="paragraph" w:styleId="Subtitle">
    <w:name w:val="Subtitle"/>
    <w:basedOn w:val="Normal"/>
    <w:next w:val="Normal"/>
    <w:pPr>
      <w:keepNext w:val="1"/>
      <w:keepLines w:val="1"/>
      <w:spacing w:after="200" w:before="0" w:line="276" w:lineRule="auto"/>
    </w:pPr>
    <w:rPr>
      <w:rFonts w:ascii="Calibri" w:cs="Calibri" w:eastAsia="Calibri" w:hAnsi="Calibri"/>
      <w:b w:val="0"/>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