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9D3FDB">
            <w:pPr>
              <w:spacing w:after="0" w:line="240" w:lineRule="auto"/>
              <w:rPr>
                <w:rFonts w:ascii="Cambria" w:hAnsi="Cambria"/>
                <w:b/>
                <w:bCs/>
                <w:color w:val="000000"/>
              </w:rPr>
            </w:pPr>
            <w:r>
              <w:rPr>
                <w:rFonts w:ascii="Cambria" w:hAnsi="Cambria"/>
                <w:b/>
                <w:bCs/>
                <w:color w:val="000000"/>
              </w:rPr>
              <w:t>SSHCZO_</w:t>
            </w:r>
            <w:r w:rsidR="00D6146C">
              <w:rPr>
                <w:rFonts w:ascii="Cambria" w:hAnsi="Cambria"/>
                <w:b/>
                <w:bCs/>
                <w:color w:val="000000"/>
              </w:rPr>
              <w:t>C</w:t>
            </w:r>
            <w:r w:rsidR="00E35EA9">
              <w:rPr>
                <w:rFonts w:ascii="Cambria" w:hAnsi="Cambria"/>
                <w:b/>
                <w:bCs/>
                <w:color w:val="000000"/>
              </w:rPr>
              <w:t>F</w:t>
            </w:r>
            <w:r w:rsidR="009D3FDB">
              <w:rPr>
                <w:rFonts w:ascii="Cambria" w:hAnsi="Cambria"/>
                <w:b/>
                <w:bCs/>
                <w:color w:val="000000"/>
              </w:rPr>
              <w:t>VF</w:t>
            </w:r>
            <w:r w:rsidR="00B84E45">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r w:rsidR="00E35EA9">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B84E45" w:rsidP="008C5FC5">
            <w:pPr>
              <w:spacing w:after="0" w:line="240" w:lineRule="auto"/>
              <w:rPr>
                <w:rFonts w:ascii="Cambria" w:hAnsi="Cambria"/>
                <w:color w:val="000000"/>
              </w:rPr>
            </w:pPr>
            <w:r>
              <w:rPr>
                <w:rFonts w:ascii="Cambria" w:hAnsi="Cambria"/>
                <w:color w:val="000000"/>
              </w:rPr>
              <w:t>2017-08-23</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AB1AB5" w:rsidP="00B34188">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w:t>
            </w:r>
            <w:proofErr w:type="spellStart"/>
            <w:r>
              <w:rPr>
                <w:rFonts w:ascii="Cambria" w:hAnsi="Cambria"/>
                <w:color w:val="000000"/>
              </w:rPr>
              <w:t>HydraProbes</w:t>
            </w:r>
            <w:proofErr w:type="spellEnd"/>
            <w:r>
              <w:rPr>
                <w:rFonts w:ascii="Cambria" w:hAnsi="Cambria"/>
                <w:color w:val="000000"/>
              </w:rPr>
              <w:t xml:space="preserve"> from Stevens Instruments.</w:t>
            </w:r>
            <w:r w:rsidR="005759EC">
              <w:rPr>
                <w:rFonts w:ascii="Cambria" w:hAnsi="Cambria"/>
                <w:color w:val="000000"/>
              </w:rPr>
              <w:t xml:space="preserve"> This dataset was collected at the Cole Farm </w:t>
            </w:r>
            <w:r w:rsidR="00B84E45">
              <w:rPr>
                <w:rFonts w:ascii="Cambria" w:hAnsi="Cambria"/>
                <w:color w:val="000000"/>
              </w:rPr>
              <w:t>West Mid-</w:t>
            </w:r>
            <w:proofErr w:type="gramStart"/>
            <w:r w:rsidR="00B84E45">
              <w:rPr>
                <w:rFonts w:ascii="Cambria" w:hAnsi="Cambria"/>
                <w:color w:val="000000"/>
              </w:rPr>
              <w:t xml:space="preserve">Slope </w:t>
            </w:r>
            <w:r w:rsidR="005759EC">
              <w:rPr>
                <w:rFonts w:ascii="Cambria" w:hAnsi="Cambria"/>
                <w:color w:val="000000"/>
              </w:rPr>
              <w:t xml:space="preserve"> location</w:t>
            </w:r>
            <w:proofErr w:type="gramEnd"/>
            <w:r w:rsidR="005759EC">
              <w:rPr>
                <w:rFonts w:ascii="Cambria" w:hAnsi="Cambria"/>
                <w:color w:val="000000"/>
              </w:rPr>
              <w:t xml:space="preserve"> and is quality controlled. </w:t>
            </w:r>
          </w:p>
          <w:p w:rsidR="005759EC" w:rsidRPr="005D4C15" w:rsidRDefault="005759EC" w:rsidP="009D3FDB">
            <w:pPr>
              <w:spacing w:after="0" w:line="240" w:lineRule="auto"/>
              <w:rPr>
                <w:rFonts w:ascii="Cambria" w:hAnsi="Cambria"/>
                <w:color w:val="000000"/>
              </w:rPr>
            </w:pPr>
            <w:r>
              <w:rPr>
                <w:rFonts w:ascii="Cambria" w:hAnsi="Cambria"/>
                <w:color w:val="000000"/>
              </w:rPr>
              <w:t>Dates: 2017</w:t>
            </w:r>
            <w:r w:rsidR="009D3FDB">
              <w:rPr>
                <w:rFonts w:ascii="Cambria" w:hAnsi="Cambria"/>
                <w:color w:val="000000"/>
              </w:rPr>
              <w:t>-09-07</w:t>
            </w:r>
            <w:r>
              <w:rPr>
                <w:rFonts w:ascii="Cambria" w:hAnsi="Cambria"/>
                <w:color w:val="000000"/>
              </w:rPr>
              <w:t xml:space="preserve"> to present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AB1AB5" w:rsidP="008C5FC5">
            <w:pPr>
              <w:spacing w:after="0" w:line="240" w:lineRule="auto"/>
              <w:rPr>
                <w:rStyle w:val="Hyperlink"/>
                <w:rFonts w:ascii="Cambria" w:hAnsi="Cambria"/>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4228F2" w:rsidRDefault="004228F2" w:rsidP="008C5FC5">
            <w:pPr>
              <w:spacing w:after="0" w:line="240" w:lineRule="auto"/>
              <w:rPr>
                <w:rStyle w:val="Hyperlink"/>
              </w:rPr>
            </w:pPr>
          </w:p>
          <w:p w:rsidR="004228F2" w:rsidRPr="00740FFE" w:rsidRDefault="004228F2"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r w:rsidRPr="00D1467F">
              <w:rPr>
                <w:rFonts w:ascii="Cambria" w:hAnsi="Cambria"/>
                <w:color w:val="000000"/>
              </w:rPr>
              <w:t>.</w:t>
            </w:r>
          </w:p>
          <w:p w:rsidR="00AB1AB5" w:rsidRDefault="00164ECE"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AB1AB5" w:rsidRPr="00A15594">
              <w:rPr>
                <w:rFonts w:ascii="Cambria" w:hAnsi="Cambria"/>
                <w:color w:val="000000"/>
              </w:rPr>
              <w:t xml:space="preserve">: label = </w:t>
            </w:r>
            <w:r w:rsidR="004228F2">
              <w:rPr>
                <w:rFonts w:ascii="Cambria" w:hAnsi="Cambria" w:cs="Arial"/>
                <w:color w:val="000000"/>
              </w:rPr>
              <w:t>SoilMoist_10</w:t>
            </w:r>
            <w:r w:rsidR="002C04DC" w:rsidRPr="00A15594">
              <w:rPr>
                <w:rFonts w:ascii="Cambria" w:hAnsi="Cambria"/>
                <w:color w:val="000000"/>
              </w:rPr>
              <w:t xml:space="preserve">, Units=m3/m3,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Default="00164ECE" w:rsidP="00E86D04">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00A15594" w:rsidRPr="00A15594">
              <w:rPr>
                <w:rFonts w:ascii="Cambria" w:hAnsi="Cambria"/>
                <w:color w:val="000000"/>
              </w:rPr>
              <w:t xml:space="preserve">: label = </w:t>
            </w:r>
            <w:r w:rsidR="00A15594" w:rsidRPr="00A15594">
              <w:rPr>
                <w:rFonts w:ascii="Cambria" w:hAnsi="Cambria" w:cs="Arial"/>
                <w:color w:val="000000"/>
              </w:rPr>
              <w:t>Flag_sm10</w:t>
            </w:r>
            <w:r w:rsidR="00A15594">
              <w:rPr>
                <w:rFonts w:ascii="Cambria" w:hAnsi="Cambria" w:cs="Arial"/>
                <w:color w:val="000000"/>
              </w:rPr>
              <w:t>, data evaluation codes</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8F7222">
              <w:rPr>
                <w:rFonts w:ascii="Cambria" w:hAnsi="Cambria" w:cs="Arial"/>
                <w:color w:val="000000"/>
              </w:rPr>
              <w:t>,</w:t>
            </w:r>
            <w:r w:rsidR="008F7222">
              <w:rPr>
                <w:rFonts w:ascii="Cambria" w:hAnsi="Cambria"/>
                <w:color w:val="000000"/>
              </w:rPr>
              <w:t xml:space="preserve"> Units=m3/m3,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164ECE"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8F7222" w:rsidRPr="008F7222">
              <w:rPr>
                <w:rFonts w:ascii="Cambria" w:hAnsi="Cambria" w:cs="Arial"/>
                <w:color w:val="000000"/>
              </w:rPr>
              <w:t>Flag_sm20</w:t>
            </w:r>
            <w:r w:rsidR="00D6146C">
              <w:rPr>
                <w:rFonts w:ascii="Cambria" w:hAnsi="Cambria" w:cs="Arial"/>
                <w:color w:val="000000"/>
              </w:rPr>
              <w:t>,</w:t>
            </w:r>
            <w:r w:rsidR="008F7222">
              <w:rPr>
                <w:rFonts w:ascii="Cambria" w:hAnsi="Cambria" w:cs="Arial"/>
                <w:color w:val="000000"/>
              </w:rPr>
              <w:t>, data evaluation codes</w:t>
            </w:r>
          </w:p>
          <w:p w:rsidR="008F7222" w:rsidRPr="008F7222" w:rsidRDefault="00164ECE"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8F7222" w:rsidRPr="008F7222">
              <w:rPr>
                <w:rFonts w:ascii="Cambria" w:hAnsi="Cambria"/>
                <w:color w:val="000000"/>
              </w:rPr>
              <w:t xml:space="preserve">: label = </w:t>
            </w:r>
            <w:r w:rsidR="004228F2">
              <w:rPr>
                <w:rFonts w:ascii="Cambria" w:hAnsi="Cambria" w:cs="Arial"/>
                <w:color w:val="000000"/>
              </w:rPr>
              <w:t>SoilMoist_40</w:t>
            </w:r>
            <w:r w:rsidR="008F7222" w:rsidRPr="008F7222">
              <w:rPr>
                <w:rFonts w:ascii="Cambria" w:hAnsi="Cambria"/>
                <w:color w:val="000000"/>
              </w:rPr>
              <w:t xml:space="preserve">, Units = </w:t>
            </w:r>
            <w:proofErr w:type="spellStart"/>
            <w:r w:rsidR="008F7222" w:rsidRPr="008F7222">
              <w:rPr>
                <w:rFonts w:ascii="Cambria" w:hAnsi="Cambria"/>
                <w:color w:val="000000"/>
              </w:rPr>
              <w:t>degC</w:t>
            </w:r>
            <w:proofErr w:type="spellEnd"/>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8F7222" w:rsidRDefault="00164ECE"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008F7222" w:rsidRPr="008F7222">
              <w:rPr>
                <w:rFonts w:ascii="Cambria" w:hAnsi="Cambria"/>
                <w:color w:val="000000"/>
              </w:rPr>
              <w:t xml:space="preserve">: label = </w:t>
            </w:r>
            <w:r w:rsidR="008F7222" w:rsidRPr="008F7222">
              <w:rPr>
                <w:rFonts w:ascii="Cambria" w:hAnsi="Cambria" w:cs="Arial"/>
                <w:color w:val="000000"/>
              </w:rPr>
              <w:t>Flag_sm40,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COL8: label = SoilMoist_90, </w:t>
            </w:r>
            <w:r w:rsidRPr="008F7222">
              <w:rPr>
                <w:rFonts w:ascii="Cambria" w:hAnsi="Cambria"/>
                <w:color w:val="000000"/>
              </w:rPr>
              <w:t xml:space="preserve">Units = </w:t>
            </w:r>
            <w:r>
              <w:rPr>
                <w:rFonts w:ascii="Cambria" w:hAnsi="Cambria"/>
                <w:color w:val="000000"/>
              </w:rPr>
              <w:t xml:space="preserve">m3/m3, </w:t>
            </w:r>
            <w:proofErr w:type="spellStart"/>
            <w:r>
              <w:rPr>
                <w:rFonts w:ascii="Cambria" w:hAnsi="Cambria"/>
                <w:color w:val="000000"/>
              </w:rPr>
              <w:t>TimeSupport</w:t>
            </w:r>
            <w:proofErr w:type="spellEnd"/>
            <w:r>
              <w:rPr>
                <w:rFonts w:ascii="Cambria" w:hAnsi="Cambria"/>
                <w:color w:val="000000"/>
              </w:rPr>
              <w:t xml:space="preserve"> = 10 min, Offset = -9</w:t>
            </w:r>
            <w:r w:rsidRPr="008F7222">
              <w:rPr>
                <w:rFonts w:ascii="Cambria" w:hAnsi="Cambria"/>
                <w:color w:val="000000"/>
              </w:rPr>
              <w:t>0 cm</w:t>
            </w:r>
          </w:p>
          <w:p w:rsidR="00D6146C" w:rsidRPr="00164ECE"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COL9: label = Flag_sm90, data evaluation codes</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COL10</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5F00F7" w:rsidRDefault="00164ECE" w:rsidP="00DD7690">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D6146C">
              <w:rPr>
                <w:rFonts w:ascii="Cambria" w:hAnsi="Cambria"/>
                <w:color w:val="000000"/>
              </w:rPr>
              <w:t>11</w:t>
            </w:r>
            <w:r w:rsidR="008F7222" w:rsidRPr="005F00F7">
              <w:rPr>
                <w:rFonts w:ascii="Cambria" w:hAnsi="Cambria"/>
                <w:color w:val="000000"/>
              </w:rPr>
              <w:t xml:space="preserve">: label = </w:t>
            </w:r>
            <w:r w:rsidR="005F00F7" w:rsidRPr="005F00F7">
              <w:rPr>
                <w:rFonts w:ascii="Cambria" w:hAnsi="Cambria" w:cs="Arial"/>
                <w:color w:val="000000"/>
              </w:rPr>
              <w:t>Flag_TC10</w:t>
            </w:r>
            <w:r w:rsidR="008F7222" w:rsidRPr="005F00F7">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D6146C"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COL13</w:t>
            </w:r>
            <w:r w:rsidR="008F7222">
              <w:rPr>
                <w:rFonts w:ascii="Cambria" w:hAnsi="Cambria"/>
                <w:color w:val="000000"/>
              </w:rPr>
              <w:t xml:space="preserve">: label = </w:t>
            </w:r>
            <w:r w:rsidR="005F00F7">
              <w:rPr>
                <w:rFonts w:ascii="Cambria" w:hAnsi="Cambria" w:cs="Arial"/>
                <w:color w:val="000000"/>
              </w:rPr>
              <w:t>Flag_TC2</w:t>
            </w:r>
            <w:r w:rsidR="005F00F7" w:rsidRPr="005F00F7">
              <w:rPr>
                <w:rFonts w:ascii="Cambria" w:hAnsi="Cambria" w:cs="Arial"/>
                <w:color w:val="000000"/>
              </w:rPr>
              <w:t>0</w:t>
            </w:r>
            <w:r w:rsidR="008F7222">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4</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E542AF"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COL15</w:t>
            </w:r>
            <w:r w:rsidR="008F7222">
              <w:rPr>
                <w:rFonts w:ascii="Cambria" w:hAnsi="Cambria"/>
                <w:color w:val="000000"/>
              </w:rPr>
              <w:t>: label =</w:t>
            </w:r>
            <w:r w:rsidR="005F00F7" w:rsidRPr="005F00F7">
              <w:rPr>
                <w:rFonts w:ascii="Cambria" w:hAnsi="Cambria" w:cs="Arial"/>
                <w:color w:val="000000"/>
              </w:rPr>
              <w:t xml:space="preserve"> </w:t>
            </w:r>
            <w:r w:rsidR="005F00F7">
              <w:rPr>
                <w:rFonts w:ascii="Cambria" w:hAnsi="Cambria" w:cs="Arial"/>
                <w:color w:val="000000"/>
              </w:rPr>
              <w:t>Flag_TC4</w:t>
            </w:r>
            <w:r w:rsidR="005F00F7" w:rsidRPr="005F00F7">
              <w:rPr>
                <w:rFonts w:ascii="Cambria" w:hAnsi="Cambria" w:cs="Arial"/>
                <w:color w:val="000000"/>
              </w:rPr>
              <w:t>0</w:t>
            </w:r>
            <w:r w:rsidR="008F7222">
              <w:rPr>
                <w:rFonts w:ascii="Cambria" w:hAnsi="Cambria"/>
                <w:color w:val="000000"/>
              </w:rPr>
              <w:t xml:space="preserve"> </w:t>
            </w:r>
            <w:r w:rsidR="008F7222">
              <w:rPr>
                <w:rFonts w:ascii="Cambria" w:hAnsi="Cambria" w:cs="Arial"/>
                <w:color w:val="000000"/>
              </w:rPr>
              <w:t>,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COL16: label = </w:t>
            </w:r>
            <w:r>
              <w:rPr>
                <w:rFonts w:ascii="Cambria" w:hAnsi="Cambria" w:cs="Arial"/>
                <w:color w:val="000000"/>
              </w:rPr>
              <w:t>SoilT_C_90,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D6146C" w:rsidRPr="005F00F7"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COL17: label = </w:t>
            </w:r>
            <w:r>
              <w:rPr>
                <w:rFonts w:ascii="Cambria" w:hAnsi="Cambria" w:cs="Arial"/>
                <w:color w:val="000000"/>
              </w:rPr>
              <w:t>Flag_TC9</w:t>
            </w:r>
            <w:r w:rsidRPr="005F00F7">
              <w:rPr>
                <w:rFonts w:ascii="Cambria" w:hAnsi="Cambria" w:cs="Arial"/>
                <w:color w:val="000000"/>
              </w:rPr>
              <w:t>0</w:t>
            </w:r>
            <w:r>
              <w:rPr>
                <w:rFonts w:ascii="Cambria" w:hAnsi="Cambria" w:cs="Arial"/>
                <w:color w:val="000000"/>
              </w:rPr>
              <w:t>, data evaluation codes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or a CR3000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A35688" w:rsidRDefault="00A35688" w:rsidP="00A35688">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A35688" w:rsidTr="00ED164C">
              <w:trPr>
                <w:jc w:val="center"/>
              </w:trPr>
              <w:tc>
                <w:tcPr>
                  <w:tcW w:w="2337" w:type="dxa"/>
                </w:tcPr>
                <w:p w:rsidR="00A35688" w:rsidRDefault="00A35688" w:rsidP="00A35688">
                  <w:r>
                    <w:t>Mark</w:t>
                  </w:r>
                </w:p>
              </w:tc>
              <w:tc>
                <w:tcPr>
                  <w:tcW w:w="2337" w:type="dxa"/>
                </w:tcPr>
                <w:p w:rsidR="00A35688" w:rsidRDefault="00A35688" w:rsidP="00A35688">
                  <w:r>
                    <w:t>Meaning</w:t>
                  </w:r>
                </w:p>
              </w:tc>
              <w:tc>
                <w:tcPr>
                  <w:tcW w:w="2338" w:type="dxa"/>
                </w:tcPr>
                <w:p w:rsidR="00A35688" w:rsidRDefault="00A35688" w:rsidP="00A35688">
                  <w:r>
                    <w:t>Explanation</w:t>
                  </w:r>
                </w:p>
              </w:tc>
            </w:tr>
            <w:tr w:rsidR="00A35688" w:rsidTr="00ED164C">
              <w:trPr>
                <w:jc w:val="center"/>
              </w:trPr>
              <w:tc>
                <w:tcPr>
                  <w:tcW w:w="2337" w:type="dxa"/>
                </w:tcPr>
                <w:p w:rsidR="00A35688" w:rsidRPr="00A35688" w:rsidRDefault="00A35688" w:rsidP="00A35688">
                  <w:pPr>
                    <w:rPr>
                      <w:color w:val="000000" w:themeColor="text1"/>
                    </w:rPr>
                  </w:pPr>
                  <w:r>
                    <w:rPr>
                      <w:color w:val="000000" w:themeColor="text1"/>
                    </w:rPr>
                    <w:t>NR</w:t>
                  </w:r>
                </w:p>
              </w:tc>
              <w:tc>
                <w:tcPr>
                  <w:tcW w:w="2337" w:type="dxa"/>
                </w:tcPr>
                <w:p w:rsidR="00A35688" w:rsidRDefault="00A35688" w:rsidP="00A35688">
                  <w:r>
                    <w:t>No reading</w:t>
                  </w:r>
                </w:p>
              </w:tc>
              <w:tc>
                <w:tcPr>
                  <w:tcW w:w="2338" w:type="dxa"/>
                </w:tcPr>
                <w:p w:rsidR="00A35688" w:rsidRDefault="00A35688" w:rsidP="00A35688">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A35688" w:rsidRDefault="00A35688" w:rsidP="00A35688">
                  <w:r>
                    <w:t>(And for soil moisture, value under 0 is a non-reading data, because it is based on volumetric water content);</w:t>
                  </w:r>
                </w:p>
                <w:p w:rsidR="00A35688" w:rsidRDefault="00A35688" w:rsidP="00A35688">
                  <w:r>
                    <w:t>For soil temperature, values like ‘-999’ or ‘-9999’ were marked as non-reading data;</w:t>
                  </w:r>
                </w:p>
                <w:p w:rsidR="00A35688" w:rsidRDefault="00A35688" w:rsidP="00A35688">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A35688" w:rsidTr="00ED164C">
              <w:trPr>
                <w:trHeight w:val="1160"/>
                <w:jc w:val="center"/>
              </w:trPr>
              <w:tc>
                <w:tcPr>
                  <w:tcW w:w="2337" w:type="dxa"/>
                </w:tcPr>
                <w:p w:rsidR="00A35688" w:rsidRDefault="00A35688" w:rsidP="00A35688">
                  <w:r w:rsidRPr="00A35688">
                    <w:rPr>
                      <w:color w:val="000000" w:themeColor="text1"/>
                    </w:rPr>
                    <w:t>LR</w:t>
                  </w:r>
                </w:p>
              </w:tc>
              <w:tc>
                <w:tcPr>
                  <w:tcW w:w="2337" w:type="dxa"/>
                </w:tcPr>
                <w:p w:rsidR="00A35688" w:rsidRDefault="00A35688" w:rsidP="00A35688">
                  <w:r>
                    <w:t xml:space="preserve">Low </w:t>
                  </w:r>
                  <w:r>
                    <w:rPr>
                      <w:rFonts w:hint="eastAsia"/>
                    </w:rPr>
                    <w:t>re</w:t>
                  </w:r>
                  <w:r>
                    <w:t>ading</w:t>
                  </w:r>
                </w:p>
              </w:tc>
              <w:tc>
                <w:tcPr>
                  <w:tcW w:w="2338" w:type="dxa"/>
                </w:tcPr>
                <w:p w:rsidR="00A35688" w:rsidRDefault="00A35688" w:rsidP="00A35688">
                  <w:r>
                    <w:t>Sensor reading lower than what it should be, we mark it as LR (low value);</w:t>
                  </w:r>
                </w:p>
                <w:p w:rsidR="00A35688" w:rsidRDefault="00A35688" w:rsidP="00A35688">
                  <w:r>
                    <w:t>Usually the method is based upon referring soil moisture records over different periods to find inconsistency;</w:t>
                  </w:r>
                </w:p>
              </w:tc>
            </w:tr>
            <w:tr w:rsidR="00A35688" w:rsidTr="00ED164C">
              <w:trPr>
                <w:jc w:val="center"/>
              </w:trPr>
              <w:tc>
                <w:tcPr>
                  <w:tcW w:w="2337" w:type="dxa"/>
                </w:tcPr>
                <w:p w:rsidR="00A35688" w:rsidRDefault="00A35688" w:rsidP="00A35688">
                  <w:r w:rsidRPr="00A35688">
                    <w:rPr>
                      <w:color w:val="000000" w:themeColor="text1"/>
                    </w:rPr>
                    <w:t>HR</w:t>
                  </w:r>
                </w:p>
              </w:tc>
              <w:tc>
                <w:tcPr>
                  <w:tcW w:w="2337" w:type="dxa"/>
                </w:tcPr>
                <w:p w:rsidR="00A35688" w:rsidRDefault="00A35688" w:rsidP="00A35688">
                  <w:r>
                    <w:t>High reading</w:t>
                  </w:r>
                </w:p>
              </w:tc>
              <w:tc>
                <w:tcPr>
                  <w:tcW w:w="2338" w:type="dxa"/>
                </w:tcPr>
                <w:p w:rsidR="00A35688" w:rsidRDefault="00A35688" w:rsidP="00A35688">
                  <w:r>
                    <w:t xml:space="preserve">Sensor reads data higher than what it should be, </w:t>
                  </w:r>
                  <w:r>
                    <w:lastRenderedPageBreak/>
                    <w:t>we mark it with HR (High Value);</w:t>
                  </w:r>
                </w:p>
              </w:tc>
            </w:tr>
          </w:tbl>
          <w:p w:rsidR="00A35688" w:rsidRDefault="00A35688" w:rsidP="00A35688">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00EE56FE" w:rsidRPr="00EE56FE">
              <w:rPr>
                <w:color w:val="000000" w:themeColor="text1"/>
                <w:highlight w:val="red"/>
              </w:rPr>
              <w:t>Flag_####</w:t>
            </w:r>
            <w:r w:rsidR="00EE56FE" w:rsidRPr="00EE56FE">
              <w:rPr>
                <w:color w:val="000000" w:themeColor="text1"/>
              </w:rPr>
              <w:t xml:space="preserve"> </w:t>
            </w:r>
            <w:r>
              <w:t xml:space="preserve">; column </w:t>
            </w:r>
            <w:r w:rsidR="00EE56FE">
              <w:t>to above data codes</w:t>
            </w:r>
            <w:r>
              <w:t>; No change is put on the original data;</w:t>
            </w:r>
          </w:p>
          <w:p w:rsidR="00A35688" w:rsidRDefault="00A35688" w:rsidP="00A35688">
            <w:pPr>
              <w:pStyle w:val="ListParagraph"/>
            </w:pPr>
          </w:p>
          <w:p w:rsidR="00A35688" w:rsidRDefault="00A35688" w:rsidP="00544A50">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A35688" w:rsidRPr="005D4C15" w:rsidRDefault="00A35688" w:rsidP="00E30FD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6C14ED" w:rsidRDefault="002C04DC" w:rsidP="00544A50">
            <w:pPr>
              <w:pStyle w:val="ListParagraph"/>
              <w:spacing w:after="0" w:line="240" w:lineRule="auto"/>
              <w:ind w:left="0"/>
              <w:rPr>
                <w:rFonts w:ascii="Cambria" w:hAnsi="Cambria"/>
                <w:color w:val="000000"/>
              </w:rPr>
            </w:pPr>
            <w:r>
              <w:rPr>
                <w:rFonts w:ascii="Cambria" w:hAnsi="Cambria"/>
                <w:color w:val="000000"/>
              </w:rPr>
              <w:t>Sites:</w:t>
            </w:r>
          </w:p>
          <w:p w:rsidR="006C14ED" w:rsidRDefault="006C14ED" w:rsidP="005F00F7">
            <w:pPr>
              <w:pStyle w:val="ListParagraph"/>
              <w:spacing w:after="0" w:line="240" w:lineRule="auto"/>
              <w:ind w:left="1440"/>
              <w:rPr>
                <w:rFonts w:ascii="Cambria" w:hAnsi="Cambria"/>
                <w:color w:val="000000"/>
              </w:rPr>
            </w:pPr>
          </w:p>
          <w:p w:rsidR="006C14ED" w:rsidRDefault="006C14ED" w:rsidP="006C14ED">
            <w:pPr>
              <w:pStyle w:val="ListParagraph"/>
              <w:spacing w:after="0" w:line="240" w:lineRule="auto"/>
              <w:rPr>
                <w:rFonts w:ascii="Cambria" w:hAnsi="Cambria"/>
                <w:color w:val="000000"/>
              </w:rPr>
            </w:pPr>
            <w:r>
              <w:rPr>
                <w:rFonts w:ascii="Cambria" w:hAnsi="Cambria"/>
                <w:color w:val="000000"/>
              </w:rPr>
              <w:t>Cole Farm:</w:t>
            </w:r>
          </w:p>
          <w:tbl>
            <w:tblPr>
              <w:tblW w:w="5327"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686"/>
              <w:gridCol w:w="3641"/>
            </w:tblGrid>
            <w:tr w:rsidR="009D3FDB" w:rsidRPr="00935126" w:rsidTr="00F868FE">
              <w:trPr>
                <w:trHeight w:val="205"/>
                <w:tblCellSpacing w:w="15" w:type="dxa"/>
              </w:trPr>
              <w:tc>
                <w:tcPr>
                  <w:tcW w:w="0" w:type="auto"/>
                  <w:shd w:val="clear" w:color="auto" w:fill="D4E4F3"/>
                  <w:vAlign w:val="center"/>
                  <w:hideMark/>
                </w:tcPr>
                <w:p w:rsidR="009D3FDB" w:rsidRPr="00935126" w:rsidRDefault="009D3FDB" w:rsidP="009D3FDB">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9D3FDB" w:rsidRPr="00935126" w:rsidRDefault="009D3FDB" w:rsidP="009D3FDB">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Valley Floor</w:t>
                  </w:r>
                </w:p>
              </w:tc>
            </w:tr>
            <w:tr w:rsidR="009D3FDB" w:rsidRPr="00935126" w:rsidTr="00F868FE">
              <w:trPr>
                <w:trHeight w:val="216"/>
                <w:tblCellSpacing w:w="15" w:type="dxa"/>
              </w:trPr>
              <w:tc>
                <w:tcPr>
                  <w:tcW w:w="0" w:type="auto"/>
                  <w:shd w:val="clear" w:color="auto" w:fill="E5E3DF"/>
                  <w:vAlign w:val="center"/>
                  <w:hideMark/>
                </w:tcPr>
                <w:p w:rsidR="009D3FDB" w:rsidRPr="00935126" w:rsidRDefault="009D3FDB" w:rsidP="009D3FDB">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9D3FDB" w:rsidRPr="00935126" w:rsidRDefault="009D3FDB" w:rsidP="009D3FDB">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40.63367</w:t>
                  </w:r>
                </w:p>
              </w:tc>
            </w:tr>
            <w:tr w:rsidR="009D3FDB" w:rsidRPr="00935126" w:rsidTr="00F868FE">
              <w:trPr>
                <w:trHeight w:val="205"/>
                <w:tblCellSpacing w:w="15" w:type="dxa"/>
              </w:trPr>
              <w:tc>
                <w:tcPr>
                  <w:tcW w:w="0" w:type="auto"/>
                  <w:shd w:val="clear" w:color="auto" w:fill="D4E4F3"/>
                  <w:vAlign w:val="center"/>
                  <w:hideMark/>
                </w:tcPr>
                <w:p w:rsidR="009D3FDB" w:rsidRPr="00935126" w:rsidRDefault="009D3FDB" w:rsidP="009D3FDB">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9D3FDB" w:rsidRPr="00935126" w:rsidRDefault="009D3FDB" w:rsidP="009D3FDB">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-77.94095</w:t>
                  </w:r>
                </w:p>
              </w:tc>
            </w:tr>
          </w:tbl>
          <w:p w:rsidR="00935126" w:rsidRPr="005D4C15" w:rsidRDefault="00935126" w:rsidP="005F00F7">
            <w:pPr>
              <w:pStyle w:val="ListParagraph"/>
              <w:spacing w:after="0" w:line="240" w:lineRule="auto"/>
              <w:ind w:left="1440"/>
              <w:rPr>
                <w:rFonts w:ascii="Cambria" w:hAnsi="Cambria"/>
                <w:color w:val="000000"/>
              </w:rPr>
            </w:pPr>
            <w:bookmarkStart w:id="0" w:name="_GoBack"/>
            <w:bookmarkEnd w:id="0"/>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4A50"/>
    <w:rsid w:val="00545DC2"/>
    <w:rsid w:val="00552F33"/>
    <w:rsid w:val="005759EC"/>
    <w:rsid w:val="00593AA2"/>
    <w:rsid w:val="005C6739"/>
    <w:rsid w:val="005D4C15"/>
    <w:rsid w:val="005E12AB"/>
    <w:rsid w:val="005F00F7"/>
    <w:rsid w:val="0066414F"/>
    <w:rsid w:val="006B6D2F"/>
    <w:rsid w:val="006C14ED"/>
    <w:rsid w:val="006D265B"/>
    <w:rsid w:val="006D4F03"/>
    <w:rsid w:val="006E20DE"/>
    <w:rsid w:val="007227A8"/>
    <w:rsid w:val="00740FFE"/>
    <w:rsid w:val="007D4F89"/>
    <w:rsid w:val="00836DED"/>
    <w:rsid w:val="008B0DCD"/>
    <w:rsid w:val="008C2551"/>
    <w:rsid w:val="008F7222"/>
    <w:rsid w:val="00935126"/>
    <w:rsid w:val="00957520"/>
    <w:rsid w:val="009A2488"/>
    <w:rsid w:val="009C4322"/>
    <w:rsid w:val="009D3FDB"/>
    <w:rsid w:val="009D42F4"/>
    <w:rsid w:val="00A133CB"/>
    <w:rsid w:val="00A15594"/>
    <w:rsid w:val="00A35688"/>
    <w:rsid w:val="00AB1AB5"/>
    <w:rsid w:val="00B34188"/>
    <w:rsid w:val="00B84E45"/>
    <w:rsid w:val="00BB5AC2"/>
    <w:rsid w:val="00C62181"/>
    <w:rsid w:val="00D6146C"/>
    <w:rsid w:val="00DD5A54"/>
    <w:rsid w:val="00DF14A0"/>
    <w:rsid w:val="00E30FDD"/>
    <w:rsid w:val="00E35EA9"/>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5102C"/>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2</cp:revision>
  <dcterms:created xsi:type="dcterms:W3CDTF">2018-09-28T18:39:00Z</dcterms:created>
  <dcterms:modified xsi:type="dcterms:W3CDTF">2018-09-28T18:39:00Z</dcterms:modified>
</cp:coreProperties>
</file>