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011725">
            <w:pPr>
              <w:cnfStyle w:val="100000000000" w:firstRow="1" w:lastRow="0" w:firstColumn="0" w:lastColumn="0" w:oddVBand="0" w:evenVBand="0" w:oddHBand="0" w:evenHBand="0" w:firstRowFirstColumn="0" w:firstRowLastColumn="0" w:lastRowFirstColumn="0" w:lastRowLastColumn="0"/>
            </w:pPr>
            <w:proofErr w:type="spellStart"/>
            <w:r>
              <w:t>SSHCZO_RAW_Seismicdata</w:t>
            </w:r>
            <w:proofErr w:type="spellEnd"/>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011725" w:rsidP="009B67DB">
            <w:pPr>
              <w:cnfStyle w:val="000000100000" w:firstRow="0" w:lastRow="0" w:firstColumn="0" w:lastColumn="0" w:oddVBand="0" w:evenVBand="0" w:oddHBand="1" w:evenHBand="0" w:firstRowFirstColumn="0" w:firstRowLastColumn="0" w:lastRowFirstColumn="0" w:lastRowLastColumn="0"/>
            </w:pPr>
            <w:r>
              <w:t>Oct 2012-Nov2013</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011725">
            <w:pPr>
              <w:cnfStyle w:val="000000000000" w:firstRow="0" w:lastRow="0" w:firstColumn="0" w:lastColumn="0" w:oddVBand="0" w:evenVBand="0" w:oddHBand="0" w:evenHBand="0" w:firstRowFirstColumn="0" w:firstRowLastColumn="0" w:lastRowFirstColumn="0" w:lastRowLastColumn="0"/>
            </w:pPr>
            <w:r>
              <w:t>Seismic survey raw data files</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422ECE">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011725" w:rsidP="00BE011E">
            <w:pPr>
              <w:cnfStyle w:val="000000100000" w:firstRow="0" w:lastRow="0" w:firstColumn="0" w:lastColumn="0" w:oddVBand="0" w:evenVBand="0" w:oddHBand="1" w:evenHBand="0" w:firstRowFirstColumn="0" w:firstRowLastColumn="0" w:lastRowFirstColumn="0" w:lastRowLastColumn="0"/>
            </w:pPr>
            <w:r>
              <w:t>Brian Clarke</w:t>
            </w:r>
          </w:p>
          <w:p w:rsidR="00011725" w:rsidRDefault="00011725" w:rsidP="00BE011E">
            <w:pPr>
              <w:cnfStyle w:val="000000100000" w:firstRow="0" w:lastRow="0" w:firstColumn="0" w:lastColumn="0" w:oddVBand="0" w:evenVBand="0" w:oddHBand="1" w:evenHBand="0" w:firstRowFirstColumn="0" w:firstRowLastColumn="0" w:lastRowFirstColumn="0" w:lastRowLastColumn="0"/>
            </w:pPr>
            <w:r>
              <w:t>Bac43@psu.edu</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8D5907" w:rsidRDefault="00011725" w:rsidP="00CC046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Data are .</w:t>
            </w:r>
            <w:proofErr w:type="spellStart"/>
            <w:r>
              <w:t>dat</w:t>
            </w:r>
            <w:proofErr w:type="spellEnd"/>
            <w:r>
              <w:t xml:space="preserve"> files of raw seismic data</w:t>
            </w:r>
          </w:p>
          <w:p w:rsidR="00011725" w:rsidRPr="00CC046A" w:rsidRDefault="00011725" w:rsidP="00CC046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Survey parameters</w:t>
            </w:r>
            <w:bookmarkStart w:id="0" w:name="_GoBack"/>
            <w:bookmarkEnd w:id="0"/>
            <w:r>
              <w:t xml:space="preserve"> are read from header info</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011725" w:rsidP="007D4F89">
            <w:pPr>
              <w:cnfStyle w:val="000000100000" w:firstRow="0" w:lastRow="0" w:firstColumn="0" w:lastColumn="0" w:oddVBand="0" w:evenVBand="0" w:oddHBand="1" w:evenHBand="0" w:firstRowFirstColumn="0" w:firstRowLastColumn="0" w:lastRowFirstColumn="0" w:lastRowLastColumn="0"/>
            </w:pPr>
            <w:r>
              <w:t>Geophysics, geomorphology, seismic surveys</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BD16EF" w:rsidRDefault="008D5907" w:rsidP="0087797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 </w:t>
            </w:r>
            <w:r w:rsidR="00011725">
              <w:t>Seismic refraction</w:t>
            </w:r>
          </w:p>
          <w:p w:rsidR="00011725" w:rsidRPr="0087797E" w:rsidRDefault="00011725" w:rsidP="0087797E">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proofErr w:type="gramStart"/>
            <w:r>
              <w:t>surface</w:t>
            </w:r>
            <w:proofErr w:type="gramEnd"/>
            <w:r>
              <w:t xml:space="preserve"> wave analyses</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4E724B">
            <w:pPr>
              <w:cnfStyle w:val="000000000000" w:firstRow="0" w:lastRow="0" w:firstColumn="0" w:lastColumn="0" w:oddVBand="0" w:evenVBand="0" w:oddHBand="0" w:evenHBand="0" w:firstRowFirstColumn="0" w:firstRowLastColumn="0" w:lastRowFirstColumn="0" w:lastRowLastColumn="0"/>
            </w:pP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w:t>
            </w:r>
            <w:r>
              <w:lastRenderedPageBreak/>
              <w:t>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11725"/>
    <w:rsid w:val="00193466"/>
    <w:rsid w:val="00235140"/>
    <w:rsid w:val="002A6535"/>
    <w:rsid w:val="002B155E"/>
    <w:rsid w:val="00372B36"/>
    <w:rsid w:val="003774EF"/>
    <w:rsid w:val="00422ECE"/>
    <w:rsid w:val="004E724B"/>
    <w:rsid w:val="00552F33"/>
    <w:rsid w:val="00593AA2"/>
    <w:rsid w:val="00594184"/>
    <w:rsid w:val="007227A8"/>
    <w:rsid w:val="007D4F89"/>
    <w:rsid w:val="0087797E"/>
    <w:rsid w:val="00896D5E"/>
    <w:rsid w:val="008C2551"/>
    <w:rsid w:val="008D5907"/>
    <w:rsid w:val="008F2D07"/>
    <w:rsid w:val="009B67DB"/>
    <w:rsid w:val="00A40FA1"/>
    <w:rsid w:val="00BD16EF"/>
    <w:rsid w:val="00BE011E"/>
    <w:rsid w:val="00C62181"/>
    <w:rsid w:val="00CC0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261</Words>
  <Characters>1494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b</cp:lastModifiedBy>
  <cp:revision>2</cp:revision>
  <dcterms:created xsi:type="dcterms:W3CDTF">2014-01-02T19:59:00Z</dcterms:created>
  <dcterms:modified xsi:type="dcterms:W3CDTF">2014-01-02T19:59:00Z</dcterms:modified>
</cp:coreProperties>
</file>