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Pr="00623C6F" w:rsidRDefault="009E75F1">
            <w:pPr>
              <w:cnfStyle w:val="100000000000"/>
              <w:rPr>
                <w:b w:val="0"/>
              </w:rPr>
            </w:pPr>
            <w:r>
              <w:rPr>
                <w:b w:val="0"/>
                <w:color w:val="auto"/>
              </w:rPr>
              <w:t>Total Gamma Ray Logs</w:t>
            </w:r>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623C6F">
            <w:pPr>
              <w:cnfStyle w:val="000000100000"/>
            </w:pPr>
            <w:r>
              <w:t>January 2013</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277DB2">
            <w:pPr>
              <w:cnfStyle w:val="000000000000"/>
            </w:pPr>
            <w:r>
              <w:t xml:space="preserve">Application of Mount </w:t>
            </w:r>
            <w:proofErr w:type="spellStart"/>
            <w:r>
              <w:t>Sopris</w:t>
            </w:r>
            <w:proofErr w:type="spellEnd"/>
            <w:r>
              <w:t xml:space="preserve"> Total Gamma Logging Tool to  Measure the  Fracture Distributions</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422ECE">
            <w:pPr>
              <w:cnfStyle w:val="000000100000"/>
            </w:pP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623C6F" w:rsidRDefault="00623C6F" w:rsidP="004F64CD">
            <w:pPr>
              <w:jc w:val="both"/>
              <w:cnfStyle w:val="000000000000"/>
            </w:pPr>
            <w:r>
              <w:t>A natural gamma ray logs are indicating the concentration of thorium (</w:t>
            </w:r>
            <w:proofErr w:type="spellStart"/>
            <w:r>
              <w:t>Th</w:t>
            </w:r>
            <w:proofErr w:type="spellEnd"/>
            <w:r>
              <w:t xml:space="preserve">), uranium (U), and potassium (K) in the rocks surrounding a borehole and they are measurement of the natural </w:t>
            </w:r>
            <w:r w:rsidR="004F64CD">
              <w:t>r</w:t>
            </w:r>
            <w:r>
              <w:t xml:space="preserve">adioactivity of the formation.  The energy of the gamma-rays (photons) differs for </w:t>
            </w:r>
            <w:proofErr w:type="spellStart"/>
            <w:r>
              <w:t>Th</w:t>
            </w:r>
            <w:proofErr w:type="spellEnd"/>
            <w:r>
              <w:t>, U, and</w:t>
            </w:r>
          </w:p>
          <w:p w:rsidR="004E724B" w:rsidRDefault="00623C6F" w:rsidP="004F64CD">
            <w:pPr>
              <w:jc w:val="both"/>
              <w:cnfStyle w:val="000000000000"/>
            </w:pPr>
            <w:r>
              <w:t>K. Potassium emits only gamma photons of energy 1.46 MeV. Thorium emits gamma photons of a number of different energies, the highest of which is 2.62 MeV. Uranium similarly emits gamma photons of a number of different energies with 1.76 MeV as the highest energy that can be detected in a borehole.</w:t>
            </w:r>
            <w:r w:rsidR="004F64CD">
              <w:t xml:space="preserve"> Here the values in</w:t>
            </w:r>
            <w:r w:rsidR="001D3395">
              <w:t>di</w:t>
            </w:r>
            <w:r w:rsidR="004F64CD">
              <w:t>cate</w:t>
            </w:r>
            <w:r>
              <w:t xml:space="preserve"> total gamma ray </w:t>
            </w:r>
            <w:r w:rsidR="004F64CD">
              <w:t xml:space="preserve">energy and are function </w:t>
            </w:r>
            <w:r w:rsidR="00BC1725">
              <w:t>of well</w:t>
            </w:r>
            <w:r w:rsidR="004F64CD">
              <w:t xml:space="preserve"> depth. </w:t>
            </w: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Default="00623C6F" w:rsidP="007D4F89">
            <w:pPr>
              <w:cnfStyle w:val="000000100000"/>
            </w:pPr>
            <w:r>
              <w:t>Kamini Singha</w:t>
            </w:r>
          </w:p>
          <w:p w:rsidR="00532FFB" w:rsidRDefault="00532FFB" w:rsidP="007D4F89">
            <w:pPr>
              <w:cnfStyle w:val="000000100000"/>
            </w:pPr>
            <w:r>
              <w:t>e-mail: ksingha@mines.edu</w:t>
            </w:r>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9E75F1" w:rsidP="009E75F1">
            <w:pPr>
              <w:pStyle w:val="ListParagraph"/>
              <w:numPr>
                <w:ilvl w:val="0"/>
                <w:numId w:val="3"/>
              </w:numPr>
              <w:cnfStyle w:val="000000000000"/>
            </w:pPr>
            <w:r w:rsidRPr="009E75F1">
              <w:t>Two data sets for each wells: Down</w:t>
            </w:r>
            <w:r>
              <w:t xml:space="preserve"> and Up</w:t>
            </w:r>
          </w:p>
          <w:p w:rsidR="009E75F1" w:rsidRDefault="009E75F1" w:rsidP="009E75F1">
            <w:pPr>
              <w:pStyle w:val="ListParagraph"/>
              <w:numPr>
                <w:ilvl w:val="0"/>
                <w:numId w:val="3"/>
              </w:numPr>
              <w:cnfStyle w:val="000000000000"/>
            </w:pPr>
            <w:r>
              <w:t>Down: From top of the well to bottom of the well</w:t>
            </w:r>
          </w:p>
          <w:p w:rsidR="009E75F1" w:rsidRDefault="009E75F1" w:rsidP="009E75F1">
            <w:pPr>
              <w:pStyle w:val="ListParagraph"/>
              <w:numPr>
                <w:ilvl w:val="0"/>
                <w:numId w:val="3"/>
              </w:numPr>
              <w:cnfStyle w:val="000000000000"/>
            </w:pPr>
            <w:r>
              <w:t xml:space="preserve">Up: From bottom of the well to top of the well </w:t>
            </w:r>
          </w:p>
          <w:p w:rsidR="00850A2D" w:rsidRDefault="00BC1725" w:rsidP="009E75F1">
            <w:pPr>
              <w:pStyle w:val="ListParagraph"/>
              <w:numPr>
                <w:ilvl w:val="0"/>
                <w:numId w:val="3"/>
              </w:numPr>
              <w:cnfStyle w:val="000000000000"/>
            </w:pPr>
            <w:r>
              <w:t>D</w:t>
            </w:r>
            <w:r w:rsidR="00850A2D">
              <w:t xml:space="preserve">epth in meters in first column and </w:t>
            </w:r>
            <w:r>
              <w:t xml:space="preserve">gamma radiation variations in </w:t>
            </w:r>
            <w:r w:rsidR="00850A2D">
              <w:t>count-per-second in the second column</w:t>
            </w:r>
          </w:p>
          <w:p w:rsidR="00850A2D" w:rsidRPr="00850A2D" w:rsidRDefault="00850A2D" w:rsidP="00850A2D">
            <w:pPr>
              <w:ind w:left="360"/>
              <w:cnfStyle w:val="000000000000"/>
            </w:pPr>
          </w:p>
          <w:p w:rsidR="009E75F1" w:rsidRPr="004E724B" w:rsidRDefault="009E75F1" w:rsidP="004E724B">
            <w:pPr>
              <w:cnfStyle w:val="000000000000"/>
            </w:pPr>
            <w:bookmarkStart w:id="0" w:name="_GoBack"/>
            <w:bookmarkEnd w:id="0"/>
          </w:p>
        </w:tc>
      </w:tr>
      <w:tr w:rsidR="008C2551" w:rsidTr="00422ECE">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623C6F" w:rsidP="00623C6F">
            <w:pPr>
              <w:cnfStyle w:val="000000100000"/>
            </w:pPr>
            <w:r>
              <w:t>Natural gamma ray logging</w:t>
            </w:r>
            <w:r w:rsidR="00277DB2">
              <w:t>;</w:t>
            </w:r>
            <w:r>
              <w:t xml:space="preserve"> CZMW and GP </w:t>
            </w:r>
            <w:r w:rsidR="00277DB2">
              <w:t>bore-</w:t>
            </w:r>
            <w:r>
              <w:t>wells</w:t>
            </w:r>
            <w:r w:rsidR="00277DB2">
              <w:t>;</w:t>
            </w:r>
            <w:r>
              <w:t xml:space="preserve"> potassium, uranium and thorium concentration</w:t>
            </w:r>
          </w:p>
        </w:tc>
      </w:tr>
      <w:tr w:rsidR="008C2551" w:rsidTr="00422ECE">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E04F90" w:rsidP="00A84CFE">
            <w:pPr>
              <w:jc w:val="both"/>
              <w:cnfStyle w:val="000000000000"/>
            </w:pPr>
            <w:r>
              <w:t>Wire-line logging</w:t>
            </w:r>
            <w:r w:rsidR="00532FFB">
              <w:t xml:space="preserve">: The natural gamma log system consists of a gamma ray detecting probe, geophysical logging cable and a digital counter instrument. It is done by lowering the probe </w:t>
            </w:r>
            <w:r w:rsidR="00A84CFE">
              <w:t>down the drill hole and recoding the gamma radiation variation (in count-per-second) with depth (in meters).</w:t>
            </w:r>
          </w:p>
        </w:tc>
      </w:tr>
      <w:tr w:rsidR="008C2551" w:rsidTr="00422ECE">
        <w:trPr>
          <w:cnfStyle w:val="000000100000"/>
        </w:trPr>
        <w:tc>
          <w:tcPr>
            <w:cnfStyle w:val="001000000000"/>
            <w:tcW w:w="1998" w:type="dxa"/>
          </w:tcPr>
          <w:p w:rsidR="00593AA2" w:rsidRDefault="00422ECE">
            <w:pPr>
              <w:rPr>
                <w:b w:val="0"/>
              </w:rPr>
            </w:pPr>
            <w:r>
              <w:rPr>
                <w:b w:val="0"/>
              </w:rPr>
              <w:t>Citation</w:t>
            </w:r>
          </w:p>
          <w:p w:rsidR="007227A8" w:rsidRPr="00593AA2" w:rsidRDefault="007227A8">
            <w:pPr>
              <w:rPr>
                <w:b w:val="0"/>
              </w:rPr>
            </w:pPr>
          </w:p>
        </w:tc>
        <w:tc>
          <w:tcPr>
            <w:tcW w:w="9018" w:type="dxa"/>
          </w:tcPr>
          <w:p w:rsidR="000C6830" w:rsidRDefault="000C6830" w:rsidP="000C6830">
            <w:pPr>
              <w:cnfStyle w:val="00000010000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pPr>
          </w:p>
        </w:tc>
      </w:tr>
      <w:tr w:rsidR="008C2551" w:rsidTr="00422ECE">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4E724B">
            <w:pPr>
              <w:cnfStyle w:val="000000000000"/>
            </w:pP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0C6830">
            <w:pPr>
              <w:cnfStyle w:val="00000010000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w:t>
            </w:r>
            <w:r>
              <w:lastRenderedPageBreak/>
              <w:t>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2A4CB5"/>
    <w:multiLevelType w:val="hybridMultilevel"/>
    <w:tmpl w:val="E780A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93AA2"/>
    <w:rsid w:val="000C6830"/>
    <w:rsid w:val="001D3395"/>
    <w:rsid w:val="001F53AD"/>
    <w:rsid w:val="00277DB2"/>
    <w:rsid w:val="00361C9C"/>
    <w:rsid w:val="00422ECE"/>
    <w:rsid w:val="004E724B"/>
    <w:rsid w:val="004F64CD"/>
    <w:rsid w:val="00532FFB"/>
    <w:rsid w:val="00552F33"/>
    <w:rsid w:val="00593AA2"/>
    <w:rsid w:val="00623C6F"/>
    <w:rsid w:val="006F13F7"/>
    <w:rsid w:val="007227A8"/>
    <w:rsid w:val="007D4F89"/>
    <w:rsid w:val="00850A2D"/>
    <w:rsid w:val="008C2551"/>
    <w:rsid w:val="009E75F1"/>
    <w:rsid w:val="00A84CFE"/>
    <w:rsid w:val="00BC1725"/>
    <w:rsid w:val="00C62181"/>
    <w:rsid w:val="00D5422D"/>
    <w:rsid w:val="00E04F90"/>
    <w:rsid w:val="00F62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C9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7D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HTMLPreformatted">
    <w:name w:val="HTML Preformatted"/>
    <w:basedOn w:val="Normal"/>
    <w:link w:val="HTMLPreformattedChar"/>
    <w:uiPriority w:val="99"/>
    <w:semiHidden/>
    <w:unhideWhenUsed/>
    <w:rsid w:val="0085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0A2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277DB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77D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styleId="HTMLPreformatted">
    <w:name w:val="HTML Preformatted"/>
    <w:basedOn w:val="Normal"/>
    <w:link w:val="HTMLPreformattedChar"/>
    <w:uiPriority w:val="99"/>
    <w:semiHidden/>
    <w:unhideWhenUsed/>
    <w:rsid w:val="00850A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0A2D"/>
    <w:rPr>
      <w:rFonts w:ascii="Courier New" w:eastAsia="Times New Roman" w:hAnsi="Courier New" w:cs="Courier New"/>
      <w:sz w:val="20"/>
      <w:szCs w:val="20"/>
    </w:rPr>
  </w:style>
  <w:style w:type="character" w:customStyle="1" w:styleId="Heading2Char">
    <w:name w:val="Heading 2 Char"/>
    <w:basedOn w:val="DefaultParagraphFont"/>
    <w:link w:val="Heading2"/>
    <w:uiPriority w:val="9"/>
    <w:semiHidden/>
    <w:rsid w:val="00277DB2"/>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6833056">
      <w:bodyDiv w:val="1"/>
      <w:marLeft w:val="0"/>
      <w:marRight w:val="0"/>
      <w:marTop w:val="0"/>
      <w:marBottom w:val="0"/>
      <w:divBdr>
        <w:top w:val="none" w:sz="0" w:space="0" w:color="auto"/>
        <w:left w:val="none" w:sz="0" w:space="0" w:color="auto"/>
        <w:bottom w:val="none" w:sz="0" w:space="0" w:color="auto"/>
        <w:right w:val="none" w:sz="0" w:space="0" w:color="auto"/>
      </w:divBdr>
    </w:div>
    <w:div w:id="165760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439</Words>
  <Characters>2506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jzw126</cp:lastModifiedBy>
  <cp:revision>2</cp:revision>
  <dcterms:created xsi:type="dcterms:W3CDTF">2013-02-08T17:12:00Z</dcterms:created>
  <dcterms:modified xsi:type="dcterms:W3CDTF">2013-02-08T17:12:00Z</dcterms:modified>
</cp:coreProperties>
</file>