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998"/>
        <w:gridCol w:w="9018"/>
      </w:tblGrid>
      <w:tr w:rsidR="008C2551">
        <w:trPr>
          <w:cnfStyle w:val="100000000000"/>
        </w:trPr>
        <w:tc>
          <w:tcPr>
            <w:cnfStyle w:val="00100000010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EE62E4" w:rsidP="008B7102">
            <w:pPr>
              <w:cnfStyle w:val="100000000000"/>
            </w:pPr>
            <w:r>
              <w:t>CZO_</w:t>
            </w:r>
            <w:r w:rsidR="008B7102">
              <w:t>TracerStudy</w:t>
            </w:r>
            <w:r>
              <w:t>.xls</w:t>
            </w:r>
          </w:p>
        </w:tc>
      </w:tr>
      <w:tr w:rsidR="00422ECE">
        <w:trPr>
          <w:cnfStyle w:val="000000100000"/>
        </w:trPr>
        <w:tc>
          <w:tcPr>
            <w:cnfStyle w:val="00100000000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EE62E4">
            <w:pPr>
              <w:cnfStyle w:val="000000100000"/>
            </w:pPr>
            <w:r>
              <w:t>January 7, 2013</w:t>
            </w:r>
          </w:p>
        </w:tc>
      </w:tr>
      <w:tr w:rsidR="008C2551">
        <w:tc>
          <w:tcPr>
            <w:cnfStyle w:val="00100000000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8B7102">
            <w:pPr>
              <w:cnfStyle w:val="000000000000"/>
            </w:pPr>
            <w:r>
              <w:t xml:space="preserve">Deuterium tracer </w:t>
            </w:r>
            <w:proofErr w:type="gramStart"/>
            <w:r>
              <w:t>study  in</w:t>
            </w:r>
            <w:proofErr w:type="gramEnd"/>
            <w:r>
              <w:t xml:space="preserve"> trees conducted in 2012</w:t>
            </w:r>
          </w:p>
        </w:tc>
      </w:tr>
      <w:tr w:rsidR="00422ECE">
        <w:trPr>
          <w:cnfStyle w:val="000000100000"/>
        </w:trPr>
        <w:tc>
          <w:tcPr>
            <w:cnfStyle w:val="00100000000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EE62E4">
            <w:pPr>
              <w:cnfStyle w:val="000000100000"/>
            </w:pPr>
            <w:r>
              <w:t>N/A</w:t>
            </w:r>
          </w:p>
        </w:tc>
      </w:tr>
      <w:tr w:rsidR="008C2551">
        <w:tc>
          <w:tcPr>
            <w:cnfStyle w:val="00100000000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8B7102" w:rsidP="008B7102">
            <w:pPr>
              <w:cnfStyle w:val="000000000000"/>
            </w:pPr>
            <w:r>
              <w:t xml:space="preserve">Water residence time of ridge-top trees was studied using the deuterium tracer technique combined with sap flow in 2012. Trees were injected with deuterium tracer and the tracer was measured in leaf condensate on subsequent days. Leaves were sampled regularly by </w:t>
            </w:r>
            <w:r w:rsidR="00EE62E4">
              <w:t>climbing</w:t>
            </w:r>
            <w:r>
              <w:t xml:space="preserve"> trees and 50 foot tall scaffolding.</w:t>
            </w:r>
          </w:p>
        </w:tc>
      </w:tr>
      <w:tr w:rsidR="008C2551">
        <w:trPr>
          <w:cnfStyle w:val="000000100000"/>
        </w:trPr>
        <w:tc>
          <w:tcPr>
            <w:cnfStyle w:val="00100000000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4E724B" w:rsidRPr="008B7102" w:rsidRDefault="00EE62E4" w:rsidP="00632DFE">
            <w:pPr>
              <w:cnfStyle w:val="000000100000"/>
            </w:pPr>
            <w:r>
              <w:t xml:space="preserve">Katie Gaines, </w:t>
            </w:r>
            <w:hyperlink r:id="rId5" w:history="1">
              <w:r w:rsidRPr="007A13A4">
                <w:rPr>
                  <w:rStyle w:val="Hyperlink"/>
                </w:rPr>
                <w:t>kpgaines@psu.edu</w:t>
              </w:r>
            </w:hyperlink>
            <w:r>
              <w:t xml:space="preserve">; David </w:t>
            </w:r>
            <w:proofErr w:type="spellStart"/>
            <w:r>
              <w:t>Eissenstat</w:t>
            </w:r>
            <w:proofErr w:type="spellEnd"/>
            <w:r>
              <w:t xml:space="preserve">, </w:t>
            </w:r>
            <w:hyperlink r:id="rId6" w:history="1">
              <w:r w:rsidR="008B7102" w:rsidRPr="007A13A4">
                <w:rPr>
                  <w:rStyle w:val="Hyperlink"/>
                </w:rPr>
                <w:t>dme9@psu.edu</w:t>
              </w:r>
            </w:hyperlink>
          </w:p>
        </w:tc>
      </w:tr>
      <w:tr w:rsidR="008C2551">
        <w:tc>
          <w:tcPr>
            <w:cnfStyle w:val="00100000000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tbl>
            <w:tblPr>
              <w:tblW w:w="6600" w:type="dxa"/>
              <w:tblLook w:val="0000"/>
            </w:tblPr>
            <w:tblGrid>
              <w:gridCol w:w="1464"/>
              <w:gridCol w:w="1932"/>
              <w:gridCol w:w="3204"/>
            </w:tblGrid>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Sheet</w:t>
                  </w: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Column Name</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Description</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spellStart"/>
                  <w:r w:rsidRPr="008B7102">
                    <w:rPr>
                      <w:rFonts w:ascii="Verdana" w:hAnsi="Verdana"/>
                      <w:sz w:val="20"/>
                      <w:szCs w:val="20"/>
                    </w:rPr>
                    <w:t>Tree_info</w:t>
                  </w:r>
                  <w:proofErr w:type="spellEnd"/>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Tower</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Number of scaffolding tower that tree is accessed from (tower 1, 2, or 3)</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spellStart"/>
                  <w:r w:rsidRPr="008B7102">
                    <w:rPr>
                      <w:rFonts w:ascii="Verdana" w:hAnsi="Verdana"/>
                      <w:sz w:val="20"/>
                      <w:szCs w:val="20"/>
                    </w:rPr>
                    <w:t>TreeID</w:t>
                  </w:r>
                  <w:proofErr w:type="spellEnd"/>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Tree identification number</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spellStart"/>
                  <w:r w:rsidRPr="008B7102">
                    <w:rPr>
                      <w:rFonts w:ascii="Verdana" w:hAnsi="Verdana"/>
                      <w:sz w:val="20"/>
                      <w:szCs w:val="20"/>
                    </w:rPr>
                    <w:t>Gr</w:t>
                  </w:r>
                  <w:proofErr w:type="spellEnd"/>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Tree group (group A or B) which determined when it was injected with deuterium</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spellStart"/>
                  <w:r w:rsidRPr="008B7102">
                    <w:rPr>
                      <w:rFonts w:ascii="Verdana" w:hAnsi="Verdana"/>
                      <w:sz w:val="20"/>
                      <w:szCs w:val="20"/>
                    </w:rPr>
                    <w:t>Sapflux</w:t>
                  </w:r>
                  <w:proofErr w:type="spellEnd"/>
                  <w:r w:rsidRPr="008B7102">
                    <w:rPr>
                      <w:rFonts w:ascii="Verdana" w:hAnsi="Verdana"/>
                      <w:sz w:val="20"/>
                      <w:szCs w:val="20"/>
                    </w:rPr>
                    <w:t xml:space="preserve"> ID</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 xml:space="preserve">Identification number for </w:t>
                  </w:r>
                  <w:proofErr w:type="spellStart"/>
                  <w:r w:rsidRPr="008B7102">
                    <w:rPr>
                      <w:rFonts w:ascii="Verdana" w:hAnsi="Verdana"/>
                      <w:sz w:val="20"/>
                      <w:szCs w:val="20"/>
                    </w:rPr>
                    <w:t>sapflux</w:t>
                  </w:r>
                  <w:proofErr w:type="spellEnd"/>
                  <w:r w:rsidRPr="008B7102">
                    <w:rPr>
                      <w:rFonts w:ascii="Verdana" w:hAnsi="Verdana"/>
                      <w:sz w:val="20"/>
                      <w:szCs w:val="20"/>
                    </w:rPr>
                    <w:t xml:space="preserve"> cables</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spellStart"/>
                  <w:r w:rsidRPr="008B7102">
                    <w:rPr>
                      <w:rFonts w:ascii="Verdana" w:hAnsi="Verdana"/>
                      <w:sz w:val="20"/>
                      <w:szCs w:val="20"/>
                    </w:rPr>
                    <w:t>Spp</w:t>
                  </w:r>
                  <w:proofErr w:type="spellEnd"/>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Tree species</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DBH (cm)</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Diameter at breast height (cm)</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Circumference (cm)</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gramStart"/>
                  <w:r w:rsidRPr="008B7102">
                    <w:rPr>
                      <w:rFonts w:ascii="Verdana" w:hAnsi="Verdana"/>
                      <w:sz w:val="20"/>
                      <w:szCs w:val="20"/>
                    </w:rPr>
                    <w:t>circumference</w:t>
                  </w:r>
                  <w:proofErr w:type="gramEnd"/>
                  <w:r w:rsidRPr="008B7102">
                    <w:rPr>
                      <w:rFonts w:ascii="Verdana" w:hAnsi="Verdana"/>
                      <w:sz w:val="20"/>
                      <w:szCs w:val="20"/>
                    </w:rPr>
                    <w:t xml:space="preserve"> (cm) used to determine dosage of D2O</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X-coordinate</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GIS X-coordinate in meters, State Plane PA S projection</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Y-coordinate</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GIS Y-coordinate in meters, State Plane PA S projection</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Deuterium (g)</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Grams of deuterium based on dosage of 0.5g/cm circumference</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Amt D injected (g)</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 xml:space="preserve">Amount of deuterium injected (g) since not all trees would take up full amount </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Data logger ID A</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 xml:space="preserve">Which port number cable hooked up to on </w:t>
                  </w:r>
                  <w:proofErr w:type="spellStart"/>
                  <w:r w:rsidRPr="008B7102">
                    <w:rPr>
                      <w:rFonts w:ascii="Verdana" w:hAnsi="Verdana"/>
                      <w:sz w:val="20"/>
                      <w:szCs w:val="20"/>
                    </w:rPr>
                    <w:t>datalogger</w:t>
                  </w:r>
                  <w:proofErr w:type="spellEnd"/>
                  <w:r w:rsidRPr="008B7102">
                    <w:rPr>
                      <w:rFonts w:ascii="Verdana" w:hAnsi="Verdana"/>
                      <w:sz w:val="20"/>
                      <w:szCs w:val="20"/>
                    </w:rPr>
                    <w:t xml:space="preserve"> - each tree had two sap flow sensors</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Data logger ID B</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 xml:space="preserve">Which port number cable hooked up to on </w:t>
                  </w:r>
                  <w:proofErr w:type="spellStart"/>
                  <w:r w:rsidRPr="008B7102">
                    <w:rPr>
                      <w:rFonts w:ascii="Verdana" w:hAnsi="Verdana"/>
                      <w:sz w:val="20"/>
                      <w:szCs w:val="20"/>
                    </w:rPr>
                    <w:t>datalogger</w:t>
                  </w:r>
                  <w:proofErr w:type="spellEnd"/>
                  <w:r w:rsidRPr="008B7102">
                    <w:rPr>
                      <w:rFonts w:ascii="Verdana" w:hAnsi="Verdana"/>
                      <w:sz w:val="20"/>
                      <w:szCs w:val="20"/>
                    </w:rPr>
                    <w:t xml:space="preserve"> - each tree had two sap flow sensors (A and B)</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Injection Date</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What date tree injected</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Injection Start</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What time injection began</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Injection Finish</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What time injection ended</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spellStart"/>
                  <w:r w:rsidRPr="008B7102">
                    <w:rPr>
                      <w:rFonts w:ascii="Verdana" w:hAnsi="Verdana"/>
                      <w:sz w:val="20"/>
                      <w:szCs w:val="20"/>
                    </w:rPr>
                    <w:t>Sapflux_raw</w:t>
                  </w:r>
                  <w:proofErr w:type="spellEnd"/>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TIMESTAMP</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Time</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RECORD</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Pr>
                      <w:rFonts w:ascii="Verdana" w:hAnsi="Verdana"/>
                      <w:sz w:val="20"/>
                      <w:szCs w:val="20"/>
                    </w:rPr>
                    <w:t>Record identification</w:t>
                  </w:r>
                  <w:r w:rsidRPr="008B7102">
                    <w:rPr>
                      <w:rFonts w:ascii="Verdana" w:hAnsi="Verdana"/>
                      <w:sz w:val="20"/>
                      <w:szCs w:val="20"/>
                    </w:rPr>
                    <w:t xml:space="preserve"> number for data</w:t>
                  </w:r>
                  <w:r>
                    <w:rPr>
                      <w:rFonts w:ascii="Verdana" w:hAnsi="Verdana"/>
                      <w:sz w:val="20"/>
                      <w:szCs w:val="20"/>
                    </w:rPr>
                    <w:t xml:space="preserve"> </w:t>
                  </w:r>
                  <w:r w:rsidRPr="008B7102">
                    <w:rPr>
                      <w:rFonts w:ascii="Verdana" w:hAnsi="Verdana"/>
                      <w:sz w:val="20"/>
                      <w:szCs w:val="20"/>
                    </w:rPr>
                    <w:t>logger</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spellStart"/>
                  <w:proofErr w:type="gramStart"/>
                  <w:r w:rsidRPr="008B7102">
                    <w:rPr>
                      <w:rFonts w:ascii="Verdana" w:hAnsi="Verdana"/>
                      <w:sz w:val="20"/>
                      <w:szCs w:val="20"/>
                    </w:rPr>
                    <w:t>battery</w:t>
                  </w:r>
                  <w:proofErr w:type="gramEnd"/>
                  <w:r w:rsidRPr="008B7102">
                    <w:rPr>
                      <w:rFonts w:ascii="Verdana" w:hAnsi="Verdana"/>
                      <w:sz w:val="20"/>
                      <w:szCs w:val="20"/>
                    </w:rPr>
                    <w:t>_V_Min</w:t>
                  </w:r>
                  <w:proofErr w:type="spellEnd"/>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Battery voltage</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gramStart"/>
                  <w:r w:rsidRPr="008B7102">
                    <w:rPr>
                      <w:rFonts w:ascii="Verdana" w:hAnsi="Verdana"/>
                      <w:sz w:val="20"/>
                      <w:szCs w:val="20"/>
                    </w:rPr>
                    <w:t>diff1</w:t>
                  </w:r>
                  <w:proofErr w:type="gramEnd"/>
                  <w:r w:rsidRPr="008B7102">
                    <w:rPr>
                      <w:rFonts w:ascii="Verdana" w:hAnsi="Verdana"/>
                      <w:sz w:val="20"/>
                      <w:szCs w:val="20"/>
                    </w:rPr>
                    <w:t>_Avg(1)</w:t>
                  </w:r>
                </w:p>
              </w:tc>
              <w:tc>
                <w:tcPr>
                  <w:tcW w:w="3317" w:type="dxa"/>
                  <w:tcBorders>
                    <w:top w:val="nil"/>
                    <w:left w:val="nil"/>
                    <w:bottom w:val="nil"/>
                    <w:right w:val="nil"/>
                  </w:tcBorders>
                  <w:shd w:val="clear" w:color="auto" w:fill="auto"/>
                  <w:noWrap/>
                  <w:vAlign w:val="bottom"/>
                </w:tcPr>
                <w:p w:rsidR="008B7102" w:rsidRPr="008B7102" w:rsidRDefault="00B13AFE" w:rsidP="008B7102">
                  <w:pPr>
                    <w:rPr>
                      <w:rFonts w:ascii="Verdana" w:hAnsi="Verdana"/>
                      <w:sz w:val="20"/>
                      <w:szCs w:val="20"/>
                    </w:rPr>
                  </w:pPr>
                  <w:r>
                    <w:rPr>
                      <w:rFonts w:ascii="Verdana" w:hAnsi="Verdana"/>
                      <w:sz w:val="20"/>
                      <w:szCs w:val="20"/>
                    </w:rPr>
                    <w:t xml:space="preserve">Temperature </w:t>
                  </w:r>
                  <w:r w:rsidR="008B7102" w:rsidRPr="008B7102">
                    <w:rPr>
                      <w:rFonts w:ascii="Verdana" w:hAnsi="Verdana"/>
                      <w:sz w:val="20"/>
                      <w:szCs w:val="20"/>
                    </w:rPr>
                    <w:t>differential (used to calculate</w:t>
                  </w:r>
                  <w:r>
                    <w:rPr>
                      <w:rFonts w:ascii="Verdana" w:hAnsi="Verdana"/>
                      <w:sz w:val="20"/>
                      <w:szCs w:val="20"/>
                    </w:rPr>
                    <w:t xml:space="preserve"> rate of</w:t>
                  </w:r>
                  <w:r w:rsidR="008B7102" w:rsidRPr="008B7102">
                    <w:rPr>
                      <w:rFonts w:ascii="Verdana" w:hAnsi="Verdana"/>
                      <w:sz w:val="20"/>
                      <w:szCs w:val="20"/>
                    </w:rPr>
                    <w:t xml:space="preserve"> sap flux) in degrees C from reference and heated probe</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Results</w:t>
                  </w: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Sample Number</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Sample number for analysis</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Sampling Date</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Date tree sampled</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Tree ID</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Tree identification number</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roofErr w:type="spellStart"/>
                  <w:r w:rsidRPr="008B7102">
                    <w:rPr>
                      <w:rFonts w:ascii="Verdana" w:hAnsi="Verdana"/>
                      <w:sz w:val="20"/>
                      <w:szCs w:val="20"/>
                    </w:rPr>
                    <w:t>Spp</w:t>
                  </w:r>
                  <w:proofErr w:type="spellEnd"/>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Species name</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632DFE" w:rsidP="008B7102">
                  <w:pPr>
                    <w:rPr>
                      <w:rFonts w:ascii="Verdana" w:hAnsi="Verdana"/>
                      <w:sz w:val="20"/>
                      <w:szCs w:val="20"/>
                    </w:rPr>
                  </w:pPr>
                  <w:r w:rsidRPr="008B7102">
                    <w:rPr>
                      <w:rFonts w:ascii="Verdana" w:hAnsi="Verdana"/>
                      <w:sz w:val="20"/>
                      <w:szCs w:val="20"/>
                    </w:rPr>
                    <w:t>D</w:t>
                  </w:r>
                  <w:r w:rsidR="008B7102" w:rsidRPr="008B7102">
                    <w:rPr>
                      <w:rFonts w:ascii="Verdana" w:hAnsi="Verdana"/>
                      <w:sz w:val="20"/>
                      <w:szCs w:val="20"/>
                    </w:rPr>
                    <w:t>2H Reportable Value (</w:t>
                  </w:r>
                  <w:proofErr w:type="spellStart"/>
                  <w:r w:rsidR="008B7102" w:rsidRPr="008B7102">
                    <w:rPr>
                      <w:rFonts w:ascii="Verdana" w:hAnsi="Verdana"/>
                      <w:sz w:val="20"/>
                      <w:szCs w:val="20"/>
                    </w:rPr>
                    <w:t>permil</w:t>
                  </w:r>
                  <w:proofErr w:type="spellEnd"/>
                  <w:r w:rsidR="008B7102" w:rsidRPr="008B7102">
                    <w:rPr>
                      <w:rFonts w:ascii="Verdana" w:hAnsi="Verdana"/>
                      <w:sz w:val="20"/>
                      <w:szCs w:val="20"/>
                    </w:rPr>
                    <w:t>)</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Hydrogen isotope ratio value (</w:t>
                  </w:r>
                  <w:proofErr w:type="spellStart"/>
                  <w:r w:rsidRPr="008B7102">
                    <w:rPr>
                      <w:rFonts w:ascii="Verdana" w:hAnsi="Verdana"/>
                      <w:sz w:val="20"/>
                      <w:szCs w:val="20"/>
                    </w:rPr>
                    <w:t>permil</w:t>
                  </w:r>
                  <w:proofErr w:type="spellEnd"/>
                  <w:r w:rsidRPr="008B7102">
                    <w:rPr>
                      <w:rFonts w:ascii="Verdana" w:hAnsi="Verdana"/>
                      <w:sz w:val="20"/>
                      <w:szCs w:val="20"/>
                    </w:rPr>
                    <w:t>)</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632DFE" w:rsidP="008B7102">
                  <w:pPr>
                    <w:rPr>
                      <w:rFonts w:ascii="Verdana" w:hAnsi="Verdana"/>
                      <w:sz w:val="20"/>
                      <w:szCs w:val="20"/>
                    </w:rPr>
                  </w:pPr>
                  <w:r w:rsidRPr="008B7102">
                    <w:rPr>
                      <w:rFonts w:ascii="Verdana" w:hAnsi="Verdana"/>
                      <w:sz w:val="20"/>
                      <w:szCs w:val="20"/>
                    </w:rPr>
                    <w:t>D</w:t>
                  </w:r>
                  <w:r w:rsidR="008B7102" w:rsidRPr="008B7102">
                    <w:rPr>
                      <w:rFonts w:ascii="Verdana" w:hAnsi="Verdana"/>
                      <w:sz w:val="20"/>
                      <w:szCs w:val="20"/>
                    </w:rPr>
                    <w:t>2H Standard Deviation (</w:t>
                  </w:r>
                  <w:proofErr w:type="spellStart"/>
                  <w:r w:rsidR="008B7102" w:rsidRPr="008B7102">
                    <w:rPr>
                      <w:rFonts w:ascii="Verdana" w:hAnsi="Verdana"/>
                      <w:sz w:val="20"/>
                      <w:szCs w:val="20"/>
                    </w:rPr>
                    <w:t>permil</w:t>
                  </w:r>
                  <w:proofErr w:type="spellEnd"/>
                  <w:r w:rsidR="008B7102" w:rsidRPr="008B7102">
                    <w:rPr>
                      <w:rFonts w:ascii="Verdana" w:hAnsi="Verdana"/>
                      <w:sz w:val="20"/>
                      <w:szCs w:val="20"/>
                    </w:rPr>
                    <w:t>)</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Hydrogen isotope ratio standard deviation (</w:t>
                  </w:r>
                  <w:proofErr w:type="spellStart"/>
                  <w:r w:rsidRPr="008B7102">
                    <w:rPr>
                      <w:rFonts w:ascii="Verdana" w:hAnsi="Verdana"/>
                      <w:sz w:val="20"/>
                      <w:szCs w:val="20"/>
                    </w:rPr>
                    <w:t>permil</w:t>
                  </w:r>
                  <w:proofErr w:type="spellEnd"/>
                  <w:r w:rsidRPr="008B7102">
                    <w:rPr>
                      <w:rFonts w:ascii="Verdana" w:hAnsi="Verdana"/>
                      <w:sz w:val="20"/>
                      <w:szCs w:val="20"/>
                    </w:rPr>
                    <w:t>)</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632DFE" w:rsidP="008B7102">
                  <w:pPr>
                    <w:rPr>
                      <w:rFonts w:ascii="Verdana" w:hAnsi="Verdana"/>
                      <w:sz w:val="20"/>
                      <w:szCs w:val="20"/>
                    </w:rPr>
                  </w:pPr>
                  <w:r w:rsidRPr="008B7102">
                    <w:rPr>
                      <w:rFonts w:ascii="Verdana" w:hAnsi="Verdana"/>
                      <w:sz w:val="20"/>
                      <w:szCs w:val="20"/>
                    </w:rPr>
                    <w:t>D</w:t>
                  </w:r>
                  <w:r w:rsidR="008B7102" w:rsidRPr="008B7102">
                    <w:rPr>
                      <w:rFonts w:ascii="Verdana" w:hAnsi="Verdana"/>
                      <w:sz w:val="20"/>
                      <w:szCs w:val="20"/>
                    </w:rPr>
                    <w:t>18O Reportable Value (</w:t>
                  </w:r>
                  <w:proofErr w:type="spellStart"/>
                  <w:r w:rsidR="008B7102" w:rsidRPr="008B7102">
                    <w:rPr>
                      <w:rFonts w:ascii="Verdana" w:hAnsi="Verdana"/>
                      <w:sz w:val="20"/>
                      <w:szCs w:val="20"/>
                    </w:rPr>
                    <w:t>permil</w:t>
                  </w:r>
                  <w:proofErr w:type="spellEnd"/>
                  <w:r w:rsidR="008B7102" w:rsidRPr="008B7102">
                    <w:rPr>
                      <w:rFonts w:ascii="Verdana" w:hAnsi="Verdana"/>
                      <w:sz w:val="20"/>
                      <w:szCs w:val="20"/>
                    </w:rPr>
                    <w:t>)</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Oxygen isotope ratio value (</w:t>
                  </w:r>
                  <w:proofErr w:type="spellStart"/>
                  <w:r w:rsidRPr="008B7102">
                    <w:rPr>
                      <w:rFonts w:ascii="Verdana" w:hAnsi="Verdana"/>
                      <w:sz w:val="20"/>
                      <w:szCs w:val="20"/>
                    </w:rPr>
                    <w:t>permil</w:t>
                  </w:r>
                  <w:proofErr w:type="spellEnd"/>
                  <w:r w:rsidRPr="008B7102">
                    <w:rPr>
                      <w:rFonts w:ascii="Verdana" w:hAnsi="Verdana"/>
                      <w:sz w:val="20"/>
                      <w:szCs w:val="20"/>
                    </w:rPr>
                    <w:t>)</w:t>
                  </w:r>
                </w:p>
              </w:tc>
            </w:tr>
            <w:tr w:rsidR="008B7102" w:rsidRPr="008B7102">
              <w:trPr>
                <w:trHeight w:val="260"/>
              </w:trPr>
              <w:tc>
                <w:tcPr>
                  <w:tcW w:w="1333"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p>
              </w:tc>
              <w:tc>
                <w:tcPr>
                  <w:tcW w:w="1950" w:type="dxa"/>
                  <w:tcBorders>
                    <w:top w:val="nil"/>
                    <w:left w:val="nil"/>
                    <w:bottom w:val="nil"/>
                    <w:right w:val="nil"/>
                  </w:tcBorders>
                  <w:shd w:val="clear" w:color="auto" w:fill="auto"/>
                  <w:noWrap/>
                  <w:vAlign w:val="bottom"/>
                </w:tcPr>
                <w:p w:rsidR="008B7102" w:rsidRPr="008B7102" w:rsidRDefault="00632DFE" w:rsidP="008B7102">
                  <w:pPr>
                    <w:rPr>
                      <w:rFonts w:ascii="Verdana" w:hAnsi="Verdana"/>
                      <w:sz w:val="20"/>
                      <w:szCs w:val="20"/>
                    </w:rPr>
                  </w:pPr>
                  <w:r w:rsidRPr="008B7102">
                    <w:rPr>
                      <w:rFonts w:ascii="Verdana" w:hAnsi="Verdana"/>
                      <w:sz w:val="20"/>
                      <w:szCs w:val="20"/>
                    </w:rPr>
                    <w:t>D</w:t>
                  </w:r>
                  <w:r w:rsidR="008B7102" w:rsidRPr="008B7102">
                    <w:rPr>
                      <w:rFonts w:ascii="Verdana" w:hAnsi="Verdana"/>
                      <w:sz w:val="20"/>
                      <w:szCs w:val="20"/>
                    </w:rPr>
                    <w:t>18O Standard Deviation (</w:t>
                  </w:r>
                  <w:proofErr w:type="spellStart"/>
                  <w:r w:rsidR="008B7102" w:rsidRPr="008B7102">
                    <w:rPr>
                      <w:rFonts w:ascii="Verdana" w:hAnsi="Verdana"/>
                      <w:sz w:val="20"/>
                      <w:szCs w:val="20"/>
                    </w:rPr>
                    <w:t>permil</w:t>
                  </w:r>
                  <w:proofErr w:type="spellEnd"/>
                  <w:r w:rsidR="008B7102" w:rsidRPr="008B7102">
                    <w:rPr>
                      <w:rFonts w:ascii="Verdana" w:hAnsi="Verdana"/>
                      <w:sz w:val="20"/>
                      <w:szCs w:val="20"/>
                    </w:rPr>
                    <w:t>)</w:t>
                  </w:r>
                </w:p>
              </w:tc>
              <w:tc>
                <w:tcPr>
                  <w:tcW w:w="3317" w:type="dxa"/>
                  <w:tcBorders>
                    <w:top w:val="nil"/>
                    <w:left w:val="nil"/>
                    <w:bottom w:val="nil"/>
                    <w:right w:val="nil"/>
                  </w:tcBorders>
                  <w:shd w:val="clear" w:color="auto" w:fill="auto"/>
                  <w:noWrap/>
                  <w:vAlign w:val="bottom"/>
                </w:tcPr>
                <w:p w:rsidR="008B7102" w:rsidRPr="008B7102" w:rsidRDefault="008B7102" w:rsidP="008B7102">
                  <w:pPr>
                    <w:rPr>
                      <w:rFonts w:ascii="Verdana" w:hAnsi="Verdana"/>
                      <w:sz w:val="20"/>
                      <w:szCs w:val="20"/>
                    </w:rPr>
                  </w:pPr>
                  <w:r w:rsidRPr="008B7102">
                    <w:rPr>
                      <w:rFonts w:ascii="Verdana" w:hAnsi="Verdana"/>
                      <w:sz w:val="20"/>
                      <w:szCs w:val="20"/>
                    </w:rPr>
                    <w:t>Oxygen isotope ratio standard deviation (</w:t>
                  </w:r>
                  <w:proofErr w:type="spellStart"/>
                  <w:r w:rsidRPr="008B7102">
                    <w:rPr>
                      <w:rFonts w:ascii="Verdana" w:hAnsi="Verdana"/>
                      <w:sz w:val="20"/>
                      <w:szCs w:val="20"/>
                    </w:rPr>
                    <w:t>permil</w:t>
                  </w:r>
                  <w:proofErr w:type="spellEnd"/>
                  <w:r w:rsidRPr="008B7102">
                    <w:rPr>
                      <w:rFonts w:ascii="Verdana" w:hAnsi="Verdana"/>
                      <w:sz w:val="20"/>
                      <w:szCs w:val="20"/>
                    </w:rPr>
                    <w:t>)</w:t>
                  </w:r>
                </w:p>
              </w:tc>
            </w:tr>
          </w:tbl>
          <w:p w:rsidR="004E724B" w:rsidRPr="004E724B" w:rsidRDefault="004E724B" w:rsidP="004E724B">
            <w:pPr>
              <w:cnfStyle w:val="000000000000"/>
            </w:pPr>
          </w:p>
        </w:tc>
      </w:tr>
      <w:tr w:rsidR="008C2551">
        <w:trPr>
          <w:cnfStyle w:val="000000100000"/>
        </w:trPr>
        <w:tc>
          <w:tcPr>
            <w:cnfStyle w:val="00100000000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8B7102" w:rsidP="008B7102">
            <w:pPr>
              <w:cnfStyle w:val="000000100000"/>
            </w:pPr>
            <w:proofErr w:type="spellStart"/>
            <w:r>
              <w:t>Ecohydrology</w:t>
            </w:r>
            <w:proofErr w:type="spellEnd"/>
            <w:r>
              <w:t xml:space="preserve">, </w:t>
            </w:r>
            <w:r w:rsidR="00EE62E4">
              <w:t xml:space="preserve">vegetation, isotopes, </w:t>
            </w:r>
            <w:r>
              <w:t xml:space="preserve">tracer, tree water, </w:t>
            </w:r>
            <w:r w:rsidR="00EE62E4">
              <w:t>deuterium</w:t>
            </w:r>
            <w:r>
              <w:t>, residence time, transit time</w:t>
            </w:r>
          </w:p>
        </w:tc>
      </w:tr>
      <w:tr w:rsidR="008C2551">
        <w:tc>
          <w:tcPr>
            <w:cnfStyle w:val="00100000000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Pr="004E724B" w:rsidRDefault="008B7102" w:rsidP="00EE62E4">
            <w:pPr>
              <w:cnfStyle w:val="000000000000"/>
            </w:pPr>
            <w:r>
              <w:t>Leaves were placed in</w:t>
            </w:r>
            <w:r w:rsidR="00B13AFE">
              <w:t xml:space="preserve"> sealed</w:t>
            </w:r>
            <w:r>
              <w:t xml:space="preserve"> plastic bags under lamps in greenhouse upon returning to the lab each day and condensate was removed from bags</w:t>
            </w:r>
            <w:r w:rsidR="00B13AFE">
              <w:t xml:space="preserve"> and stored in sealed vials</w:t>
            </w:r>
            <w:r>
              <w:t>.</w:t>
            </w:r>
            <w:r w:rsidR="00632DFE">
              <w:t xml:space="preserve"> Condensate was run on a Los Gatos water isotopic analyzer in the lab of Christopher Duffy (</w:t>
            </w:r>
            <w:hyperlink r:id="rId7" w:history="1">
              <w:r w:rsidR="00B13AFE" w:rsidRPr="007A13A4">
                <w:rPr>
                  <w:rStyle w:val="Hyperlink"/>
                </w:rPr>
                <w:t>cxd11@psu.edu</w:t>
              </w:r>
            </w:hyperlink>
            <w:r w:rsidR="00632DFE">
              <w:t>).</w:t>
            </w:r>
            <w:r w:rsidR="00B13AFE">
              <w:t xml:space="preserve"> Fixed depth sap flow probes were used (2 pairs in each tree) and sap flow was monitored from April to November. </w:t>
            </w:r>
          </w:p>
        </w:tc>
      </w:tr>
      <w:tr w:rsidR="008C2551">
        <w:trPr>
          <w:cnfStyle w:val="000000100000"/>
        </w:trPr>
        <w:tc>
          <w:tcPr>
            <w:cnfStyle w:val="001000000000"/>
            <w:tcW w:w="1998" w:type="dxa"/>
          </w:tcPr>
          <w:p w:rsidR="00593AA2" w:rsidRDefault="00632DFE">
            <w:pPr>
              <w:rPr>
                <w:b w:val="0"/>
              </w:rPr>
            </w:pPr>
            <w:r>
              <w:rPr>
                <w:b w:val="0"/>
              </w:rPr>
              <w:t xml:space="preserve"> </w:t>
            </w:r>
            <w:r w:rsidR="00422ECE">
              <w:rPr>
                <w:b w:val="0"/>
              </w:rPr>
              <w:t>Citation</w:t>
            </w:r>
          </w:p>
          <w:p w:rsidR="007227A8" w:rsidRPr="00593AA2" w:rsidRDefault="007227A8">
            <w:pPr>
              <w:rPr>
                <w:b w:val="0"/>
              </w:rPr>
            </w:pPr>
          </w:p>
        </w:tc>
        <w:tc>
          <w:tcPr>
            <w:tcW w:w="9018" w:type="dxa"/>
          </w:tcPr>
          <w:p w:rsidR="000C6830" w:rsidRDefault="000C6830" w:rsidP="000C6830">
            <w:pPr>
              <w:cnfStyle w:val="000000100000"/>
            </w:pPr>
            <w:r>
              <w:t>The following acknowledgment should accompany any publication or citation of these data:  Logistical support and/or data were provided by the NSF-supported Shale Hills Susquehanna Critical Zone Observatory.</w:t>
            </w:r>
          </w:p>
          <w:p w:rsidR="004E724B" w:rsidRDefault="004E724B">
            <w:pPr>
              <w:cnfStyle w:val="000000100000"/>
            </w:pPr>
          </w:p>
        </w:tc>
      </w:tr>
      <w:tr w:rsidR="008C2551">
        <w:tc>
          <w:tcPr>
            <w:cnfStyle w:val="00100000000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EE62E4">
            <w:pPr>
              <w:cnfStyle w:val="000000000000"/>
            </w:pPr>
            <w:r>
              <w:t>Manuscript in progress.</w:t>
            </w:r>
          </w:p>
        </w:tc>
      </w:tr>
      <w:tr w:rsidR="00422ECE">
        <w:trPr>
          <w:cnfStyle w:val="000000100000"/>
        </w:trPr>
        <w:tc>
          <w:tcPr>
            <w:cnfStyle w:val="00100000000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bookmarkStart w:id="0" w:name="_GoBack"/>
            <w:bookmarkEnd w:id="0"/>
          </w:p>
        </w:tc>
        <w:tc>
          <w:tcPr>
            <w:tcW w:w="9018" w:type="dxa"/>
          </w:tcPr>
          <w:p w:rsidR="00422ECE" w:rsidRDefault="000C6830">
            <w:pPr>
              <w:cnfStyle w:val="00000010000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593AA2"/>
    <w:rsid w:val="000C6830"/>
    <w:rsid w:val="00422ECE"/>
    <w:rsid w:val="004E724B"/>
    <w:rsid w:val="00552F33"/>
    <w:rsid w:val="00593AA2"/>
    <w:rsid w:val="00632DFE"/>
    <w:rsid w:val="007227A8"/>
    <w:rsid w:val="007D4F89"/>
    <w:rsid w:val="008B7102"/>
    <w:rsid w:val="008C2551"/>
    <w:rsid w:val="00B13AFE"/>
    <w:rsid w:val="00C62181"/>
    <w:rsid w:val="00D6443D"/>
    <w:rsid w:val="00EE62E4"/>
    <w:rsid w:val="00F623CC"/>
    <w:rsid w:val="00F7675B"/>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style w:type="paragraph" w:default="1" w:styleId="Normal">
    <w:name w:val="Normal"/>
    <w:qFormat/>
    <w:rsid w:val="00F623CC"/>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953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kpgaines@psu.edu" TargetMode="External"/><Relationship Id="rId6" Type="http://schemas.openxmlformats.org/officeDocument/2006/relationships/hyperlink" Target="mailto:dme9@psu.edu" TargetMode="External"/><Relationship Id="rId7" Type="http://schemas.openxmlformats.org/officeDocument/2006/relationships/hyperlink" Target="mailto:cxd11@psu.edu"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599</Words>
  <Characters>3419</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Katie Gaines</cp:lastModifiedBy>
  <cp:revision>2</cp:revision>
  <dcterms:created xsi:type="dcterms:W3CDTF">2013-01-07T20:42:00Z</dcterms:created>
  <dcterms:modified xsi:type="dcterms:W3CDTF">2013-01-07T20:42:00Z</dcterms:modified>
</cp:coreProperties>
</file>