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6FCB" w14:textId="77777777" w:rsidR="00471865" w:rsidRDefault="00200370" w:rsidP="00593AA2">
      <w:pPr>
        <w:pStyle w:val="Heading1"/>
        <w:rPr>
          <w:i/>
          <w:sz w:val="36"/>
        </w:rPr>
      </w:pPr>
      <w:r>
        <w:rPr>
          <w:sz w:val="36"/>
        </w:rPr>
        <w:t>SSH</w:t>
      </w:r>
      <w:r w:rsidR="00471865" w:rsidRPr="00593AA2">
        <w:rPr>
          <w:sz w:val="36"/>
        </w:rPr>
        <w:t>CZO Metadata Worksheet</w:t>
      </w:r>
      <w:r w:rsidR="00740FFE">
        <w:rPr>
          <w:sz w:val="36"/>
        </w:rPr>
        <w:t xml:space="preserve"> </w:t>
      </w:r>
    </w:p>
    <w:p w14:paraId="5BB49AAF" w14:textId="77777777" w:rsidR="00545DC2" w:rsidRPr="00545DC2" w:rsidRDefault="00545DC2" w:rsidP="00545DC2"/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977"/>
        <w:gridCol w:w="8813"/>
      </w:tblGrid>
      <w:tr w:rsidR="00471865" w:rsidRPr="005D4C15" w14:paraId="4F80C97E" w14:textId="77777777" w:rsidTr="00071D32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9F008B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File Name</w:t>
            </w:r>
          </w:p>
          <w:p w14:paraId="00E4AD9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5FE42C35" w14:textId="77777777" w:rsidR="00471865" w:rsidRPr="005D4C15" w:rsidRDefault="00F4778D" w:rsidP="00AA26B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GRO_DataCall_2014_2016</w:t>
            </w:r>
            <w:r w:rsidR="00AA26B4">
              <w:rPr>
                <w:rFonts w:ascii="Cambria" w:hAnsi="Cambria"/>
                <w:b/>
                <w:bCs/>
                <w:color w:val="000000"/>
              </w:rPr>
              <w:t>.xlxs</w:t>
            </w:r>
          </w:p>
        </w:tc>
      </w:tr>
      <w:tr w:rsidR="00471865" w:rsidRPr="005D4C15" w14:paraId="54485C1F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ABEBCB8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Date Prepared</w:t>
            </w:r>
          </w:p>
          <w:p w14:paraId="225A9F6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09A32ED5" w14:textId="77777777" w:rsidR="00471865" w:rsidRPr="005D4C15" w:rsidRDefault="00F4778D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4/12/2018</w:t>
            </w:r>
            <w:r w:rsidR="00740FFE">
              <w:rPr>
                <w:rFonts w:ascii="Cambria" w:hAnsi="Cambria"/>
                <w:color w:val="000000"/>
              </w:rPr>
              <w:t xml:space="preserve"> – </w:t>
            </w:r>
            <w:r w:rsidR="00740FFE" w:rsidRPr="00740FFE">
              <w:rPr>
                <w:rFonts w:ascii="Cambria" w:hAnsi="Cambria"/>
                <w:i/>
                <w:color w:val="000000"/>
              </w:rPr>
              <w:t>Date when sent to Data Manager for Posting</w:t>
            </w:r>
          </w:p>
        </w:tc>
      </w:tr>
      <w:tr w:rsidR="00471865" w:rsidRPr="005D4C15" w14:paraId="1D5D0D07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702FAA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Descriptive Title</w:t>
            </w:r>
          </w:p>
          <w:p w14:paraId="4857FB38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724D5FB1" w14:textId="77777777" w:rsidR="00471865" w:rsidRPr="005D4C15" w:rsidRDefault="00AA26B4" w:rsidP="00F4778D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Water chemistry data for </w:t>
            </w:r>
            <w:r w:rsidR="00F4778D">
              <w:rPr>
                <w:rFonts w:ascii="Cambria" w:hAnsi="Cambria"/>
                <w:color w:val="000000"/>
              </w:rPr>
              <w:t>the outlet of the Garner Run catchment.</w:t>
            </w:r>
          </w:p>
        </w:tc>
      </w:tr>
      <w:tr w:rsidR="00471865" w:rsidRPr="005D4C15" w14:paraId="4EDC22D6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5C9859C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Update Frequency</w:t>
            </w:r>
          </w:p>
          <w:p w14:paraId="6F1770C2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714DC06E" w14:textId="77777777" w:rsidR="00471865" w:rsidRPr="005D4C15" w:rsidRDefault="00AA26B4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Annually</w:t>
            </w:r>
          </w:p>
        </w:tc>
      </w:tr>
      <w:tr w:rsidR="00471865" w:rsidRPr="005D4C15" w14:paraId="6B6D6D39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E3154B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Abstract</w:t>
            </w:r>
          </w:p>
          <w:p w14:paraId="758BDCAD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19DBDC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6B86488B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999E0C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3F50011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7B4692F0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5D7FFB3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11D675AF" w14:textId="77777777" w:rsidR="00471865" w:rsidRPr="00AA26B4" w:rsidRDefault="00AA26B4" w:rsidP="00F4778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Chemistry for water samples collected from the Shaver's Creek Watershed are presented as part of Shale Hills Critical Zone Observatory research. Samples were collected from </w:t>
            </w:r>
            <w:r w:rsidR="00F4778D">
              <w:rPr>
                <w:color w:val="000000"/>
              </w:rPr>
              <w:t xml:space="preserve">the sandstone bedrock site, Garner Run (GRO). </w:t>
            </w:r>
            <w:r>
              <w:rPr>
                <w:color w:val="000000"/>
              </w:rPr>
              <w:t xml:space="preserve">Grab samples were collected from the stream sites on a bi-weekly to monthly basis </w:t>
            </w:r>
            <w:r w:rsidR="00F4778D">
              <w:rPr>
                <w:color w:val="000000"/>
              </w:rPr>
              <w:t>from June 2014 to February</w:t>
            </w:r>
            <w:r>
              <w:rPr>
                <w:color w:val="000000"/>
              </w:rPr>
              <w:t xml:space="preserve"> 2016. Samples were processed for major cations, anions, and general physiochemical parameters as soon as possible following collection. </w:t>
            </w:r>
          </w:p>
        </w:tc>
      </w:tr>
      <w:tr w:rsidR="00471865" w:rsidRPr="005D4C15" w14:paraId="586AED2F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0041BD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Investigator</w:t>
            </w:r>
          </w:p>
          <w:p w14:paraId="18AC015C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Contact Info</w:t>
            </w:r>
          </w:p>
          <w:p w14:paraId="19BCF77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016F8B26" w14:textId="77777777" w:rsidR="00AA26B4" w:rsidRDefault="00AA26B4" w:rsidP="00AA26B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Sue Brantley, Ph.D.</w:t>
            </w:r>
          </w:p>
          <w:p w14:paraId="2F39D346" w14:textId="77777777" w:rsidR="00471865" w:rsidRPr="00740FFE" w:rsidRDefault="00AA26B4" w:rsidP="00AA26B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Sxb7@psu.edu</w:t>
            </w:r>
          </w:p>
        </w:tc>
      </w:tr>
      <w:tr w:rsidR="00471865" w:rsidRPr="005D4C15" w14:paraId="0B2AB401" w14:textId="77777777" w:rsidTr="00545DC2">
        <w:trPr>
          <w:trHeight w:val="2842"/>
        </w:trPr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91A17BB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Value Descriptions</w:t>
            </w:r>
          </w:p>
          <w:p w14:paraId="190D0F18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508BB00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5AFABA14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5FC16B4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A3C7C39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D7667DB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627B0B88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5764B7B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463A76D0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4BECEE3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5B7AA577" w14:textId="77777777" w:rsidR="00471865" w:rsidRPr="00545DC2" w:rsidRDefault="00AA26B4" w:rsidP="00AA26B4">
            <w:pPr>
              <w:pStyle w:val="ListParagraph"/>
              <w:spacing w:after="0" w:line="240" w:lineRule="auto"/>
              <w:ind w:left="535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Detailed descriptions of </w:t>
            </w:r>
            <w:proofErr w:type="spellStart"/>
            <w:r>
              <w:rPr>
                <w:rFonts w:ascii="Cambria" w:hAnsi="Cambria"/>
                <w:color w:val="000000"/>
              </w:rPr>
              <w:t>analytes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and units for each column are included in excel document. </w:t>
            </w:r>
          </w:p>
        </w:tc>
      </w:tr>
      <w:tr w:rsidR="00471865" w:rsidRPr="005D4C15" w14:paraId="1C04C9F4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04841D0" w14:textId="77777777" w:rsidR="00471865" w:rsidRPr="005D4C15" w:rsidRDefault="00545DC2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K</w:t>
            </w:r>
            <w:r w:rsidR="00471865" w:rsidRPr="005D4C15">
              <w:rPr>
                <w:rFonts w:ascii="Cambria" w:hAnsi="Cambria"/>
                <w:bCs/>
                <w:color w:val="000000"/>
              </w:rPr>
              <w:t>eywords</w:t>
            </w:r>
          </w:p>
          <w:p w14:paraId="6F118BEC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0F31C1E4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02E811F0" w14:textId="77777777" w:rsidR="00471865" w:rsidRPr="005D4C15" w:rsidRDefault="00071D32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 Water chemistry</w:t>
            </w:r>
          </w:p>
        </w:tc>
      </w:tr>
      <w:tr w:rsidR="00071D32" w:rsidRPr="005D4C15" w14:paraId="7718873A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EC45E18" w14:textId="77777777" w:rsidR="00071D32" w:rsidRPr="005D4C15" w:rsidRDefault="00071D32" w:rsidP="00071D32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Methods</w:t>
            </w:r>
          </w:p>
          <w:p w14:paraId="4E5AC85D" w14:textId="77777777" w:rsidR="00071D32" w:rsidRPr="005D4C15" w:rsidRDefault="00071D32" w:rsidP="00071D32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0BC56531" w14:textId="77777777" w:rsidR="00071D32" w:rsidRPr="005D4C15" w:rsidRDefault="00071D32" w:rsidP="00071D32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2EC7AE44" w14:textId="77777777" w:rsidR="00071D32" w:rsidRPr="005D4C15" w:rsidRDefault="00071D32" w:rsidP="00071D32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3D7539A6" w14:textId="77777777" w:rsidR="00071D32" w:rsidRPr="005D4C15" w:rsidRDefault="00071D32" w:rsidP="00071D32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55317211" w14:textId="77777777" w:rsidR="00071D32" w:rsidRPr="005D4C15" w:rsidRDefault="00071D32" w:rsidP="00071D32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64F1CB11" w14:textId="77777777" w:rsidR="00071D32" w:rsidRDefault="00071D32" w:rsidP="00071D32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Water samples collected according to standard methods, weekly to bi-weekly. Samples were analyzed using ICP-AES, IC, and a Shimadzu TOC Analyzer. </w:t>
            </w:r>
          </w:p>
          <w:p w14:paraId="2B0843A9" w14:textId="77777777" w:rsidR="00071D32" w:rsidRPr="005D4C15" w:rsidRDefault="00071D32" w:rsidP="00071D32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</w:t>
            </w:r>
          </w:p>
        </w:tc>
      </w:tr>
      <w:tr w:rsidR="00071D32" w:rsidRPr="005D4C15" w14:paraId="16F7C402" w14:textId="77777777" w:rsidTr="00071D32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308BE4D" w14:textId="77777777" w:rsidR="00071D32" w:rsidRPr="005D4C15" w:rsidRDefault="00071D32" w:rsidP="00071D32">
            <w:pPr>
              <w:spacing w:after="0" w:line="240" w:lineRule="auto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Sites</w:t>
            </w:r>
          </w:p>
        </w:tc>
        <w:tc>
          <w:tcPr>
            <w:tcW w:w="8813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017937C4" w14:textId="77777777" w:rsidR="0060514E" w:rsidRDefault="007D3249" w:rsidP="00071D32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GRO</w:t>
            </w:r>
            <w:r w:rsidR="00071D32">
              <w:rPr>
                <w:rFonts w:ascii="Cambria" w:hAnsi="Cambria"/>
                <w:i/>
                <w:color w:val="000000"/>
              </w:rPr>
              <w:t>:</w:t>
            </w:r>
            <w:r w:rsidR="0060514E">
              <w:rPr>
                <w:rFonts w:ascii="Cambria" w:hAnsi="Cambria"/>
                <w:i/>
                <w:color w:val="000000"/>
              </w:rPr>
              <w:t xml:space="preserve"> </w:t>
            </w:r>
          </w:p>
          <w:p w14:paraId="225CF8A1" w14:textId="77777777" w:rsidR="00071D32" w:rsidRPr="0060514E" w:rsidRDefault="0060514E" w:rsidP="00071D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60514E">
              <w:rPr>
                <w:rFonts w:eastAsia="Times New Roman"/>
                <w:color w:val="000000"/>
                <w:sz w:val="24"/>
                <w:szCs w:val="24"/>
              </w:rPr>
              <w:t>N 40° 41' 32.892" W 77° 55' 41.052</w:t>
            </w:r>
            <w:bookmarkStart w:id="0" w:name="_GoBack"/>
            <w:bookmarkEnd w:id="0"/>
          </w:p>
          <w:p w14:paraId="63BAF938" w14:textId="77777777" w:rsidR="00071D32" w:rsidRPr="00071D32" w:rsidRDefault="00071D32" w:rsidP="00071D32">
            <w:pPr>
              <w:tabs>
                <w:tab w:val="left" w:pos="1319"/>
              </w:tabs>
              <w:spacing w:after="0" w:line="240" w:lineRule="auto"/>
              <w:rPr>
                <w:rFonts w:ascii="Cambria" w:hAnsi="Cambria"/>
                <w:i/>
                <w:color w:val="000000"/>
              </w:rPr>
            </w:pPr>
          </w:p>
        </w:tc>
      </w:tr>
      <w:tr w:rsidR="00071D32" w:rsidRPr="005D4C15" w14:paraId="7D6C374E" w14:textId="77777777" w:rsidTr="00071D32">
        <w:tc>
          <w:tcPr>
            <w:tcW w:w="1977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A2736AD" w14:textId="77777777" w:rsidR="00071D32" w:rsidRPr="005D4C15" w:rsidRDefault="00071D32" w:rsidP="00071D32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Publications</w:t>
            </w:r>
          </w:p>
          <w:p w14:paraId="0D695C4C" w14:textId="77777777" w:rsidR="00071D32" w:rsidRPr="005D4C15" w:rsidRDefault="00071D32" w:rsidP="00071D32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8813" w:type="dxa"/>
            <w:shd w:val="clear" w:color="auto" w:fill="C6D9F1" w:themeFill="text2" w:themeFillTint="33"/>
          </w:tcPr>
          <w:p w14:paraId="1E069419" w14:textId="77777777" w:rsidR="00071D32" w:rsidRPr="007D3249" w:rsidRDefault="007D3249" w:rsidP="007D3249">
            <w:pPr>
              <w:widowControl w:val="0"/>
              <w:rPr>
                <w:rFonts w:ascii="Times New Roman" w:hAnsi="Times New Roman"/>
              </w:rPr>
            </w:pPr>
            <w:r w:rsidRPr="007D3249">
              <w:rPr>
                <w:rFonts w:ascii="Times New Roman" w:hAnsi="Times New Roman"/>
              </w:rPr>
              <w:t>B. Hoagland,</w:t>
            </w:r>
            <w:r w:rsidRPr="009F4B48">
              <w:rPr>
                <w:rFonts w:ascii="Times New Roman" w:hAnsi="Times New Roman"/>
              </w:rPr>
              <w:t xml:space="preserve"> T. Russo, X. </w:t>
            </w:r>
            <w:proofErr w:type="spellStart"/>
            <w:r w:rsidRPr="009F4B48">
              <w:rPr>
                <w:rFonts w:ascii="Times New Roman" w:hAnsi="Times New Roman"/>
              </w:rPr>
              <w:t>Gu</w:t>
            </w:r>
            <w:proofErr w:type="spellEnd"/>
            <w:r w:rsidRPr="009F4B48">
              <w:rPr>
                <w:rFonts w:ascii="Times New Roman" w:hAnsi="Times New Roman"/>
              </w:rPr>
              <w:t xml:space="preserve">, L. Hill, J. Kaye, B. Forsythe &amp; S. Brantley (2017). Hyporheic zone influences on concentration-discharge relationships in a headwater sandstone stream. </w:t>
            </w:r>
            <w:r w:rsidRPr="009F4B48">
              <w:rPr>
                <w:rFonts w:ascii="Times New Roman" w:hAnsi="Times New Roman"/>
                <w:i/>
              </w:rPr>
              <w:t>Water Resources Research</w:t>
            </w:r>
            <w:r w:rsidRPr="009F4B48">
              <w:rPr>
                <w:rFonts w:ascii="Times New Roman" w:hAnsi="Times New Roman"/>
              </w:rPr>
              <w:t>. DOI: 10.1002/2016WR019717</w:t>
            </w:r>
          </w:p>
        </w:tc>
      </w:tr>
    </w:tbl>
    <w:p w14:paraId="3B929C54" w14:textId="77777777" w:rsidR="00471865" w:rsidRDefault="00471865" w:rsidP="00071D32">
      <w:pPr>
        <w:pStyle w:val="Heading1"/>
      </w:pPr>
    </w:p>
    <w:sectPr w:rsidR="00471865" w:rsidSect="00545DC2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056"/>
    <w:multiLevelType w:val="hybridMultilevel"/>
    <w:tmpl w:val="FF90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97A"/>
    <w:multiLevelType w:val="hybridMultilevel"/>
    <w:tmpl w:val="18C2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291831"/>
    <w:multiLevelType w:val="hybridMultilevel"/>
    <w:tmpl w:val="87263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EF1A52"/>
    <w:multiLevelType w:val="hybridMultilevel"/>
    <w:tmpl w:val="BDE6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A2"/>
    <w:rsid w:val="00071D32"/>
    <w:rsid w:val="000A387F"/>
    <w:rsid w:val="000C6830"/>
    <w:rsid w:val="00200370"/>
    <w:rsid w:val="00271923"/>
    <w:rsid w:val="002E2479"/>
    <w:rsid w:val="00340E52"/>
    <w:rsid w:val="003F6DB7"/>
    <w:rsid w:val="00422ECE"/>
    <w:rsid w:val="00464656"/>
    <w:rsid w:val="00471865"/>
    <w:rsid w:val="004E724B"/>
    <w:rsid w:val="0050592C"/>
    <w:rsid w:val="00545DC2"/>
    <w:rsid w:val="00552F33"/>
    <w:rsid w:val="00593AA2"/>
    <w:rsid w:val="005D4C15"/>
    <w:rsid w:val="005E12AB"/>
    <w:rsid w:val="005E36DF"/>
    <w:rsid w:val="0060514E"/>
    <w:rsid w:val="0066414F"/>
    <w:rsid w:val="006B6D2F"/>
    <w:rsid w:val="006E20DE"/>
    <w:rsid w:val="007227A8"/>
    <w:rsid w:val="00740FFE"/>
    <w:rsid w:val="007D3249"/>
    <w:rsid w:val="007D4F89"/>
    <w:rsid w:val="008B0DCD"/>
    <w:rsid w:val="008C2551"/>
    <w:rsid w:val="009A2488"/>
    <w:rsid w:val="009C4322"/>
    <w:rsid w:val="009D42F4"/>
    <w:rsid w:val="00A133CB"/>
    <w:rsid w:val="00AA26B4"/>
    <w:rsid w:val="00C62181"/>
    <w:rsid w:val="00DD5A54"/>
    <w:rsid w:val="00DF14A0"/>
    <w:rsid w:val="00E542AF"/>
    <w:rsid w:val="00F4778D"/>
    <w:rsid w:val="00F623CC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535483"/>
  <w15:docId w15:val="{C2D5543E-9CD7-415E-991B-6F8E2EDA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623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93A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AA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593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93A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93AA2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E72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CZO Metadata Worksheet</vt:lpstr>
    </vt:vector>
  </TitlesOfParts>
  <Company>Penn State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CZO Metadata Worksheet</dc:title>
  <dc:creator>CEI</dc:creator>
  <cp:lastModifiedBy>beth h</cp:lastModifiedBy>
  <cp:revision>2</cp:revision>
  <dcterms:created xsi:type="dcterms:W3CDTF">2018-04-12T14:25:00Z</dcterms:created>
  <dcterms:modified xsi:type="dcterms:W3CDTF">2018-04-12T14:25:00Z</dcterms:modified>
</cp:coreProperties>
</file>